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900"/>
        <w:gridCol w:w="1350"/>
      </w:tblGrid>
      <w:tr w:rsidR="005B77DF" w:rsidRPr="000F3925" w14:paraId="4AC8A18C" w14:textId="77777777" w:rsidTr="007B06DD">
        <w:trPr>
          <w:cantSplit/>
          <w:trHeight w:val="502"/>
        </w:trPr>
        <w:tc>
          <w:tcPr>
            <w:tcW w:w="5218" w:type="dxa"/>
            <w:tcBorders>
              <w:top w:val="nil"/>
              <w:left w:val="nil"/>
              <w:bottom w:val="nil"/>
              <w:right w:val="nil"/>
            </w:tcBorders>
          </w:tcPr>
          <w:p w14:paraId="5E152A98" w14:textId="77777777" w:rsidR="005B77DF" w:rsidRPr="000F3925" w:rsidRDefault="005B77DF" w:rsidP="005B77DF">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STATE OF WISCONSIN        </w:t>
            </w:r>
            <w:r>
              <w:rPr>
                <w:rFonts w:ascii="Arial Narrow" w:hAnsi="Arial Narrow" w:cs="Arial"/>
                <w:b/>
                <w:sz w:val="24"/>
                <w:szCs w:val="24"/>
              </w:rPr>
              <w:t xml:space="preserve">      </w:t>
            </w:r>
            <w:r w:rsidRPr="000F3925">
              <w:rPr>
                <w:rFonts w:ascii="Arial Narrow" w:hAnsi="Arial Narrow" w:cs="Arial"/>
                <w:b/>
                <w:sz w:val="24"/>
                <w:szCs w:val="24"/>
              </w:rPr>
              <w:t>CIRCUIT COURT</w:t>
            </w:r>
          </w:p>
          <w:p w14:paraId="6D0FEEE5" w14:textId="77777777" w:rsidR="005B77DF" w:rsidRDefault="005B77DF" w:rsidP="005B77DF">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                                                      BRANCH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2AB3F350" w14:textId="77777777" w:rsidR="005B77DF" w:rsidRPr="000F3925" w:rsidRDefault="005B77DF" w:rsidP="005B77DF">
            <w:pPr>
              <w:pStyle w:val="Header"/>
              <w:tabs>
                <w:tab w:val="clear" w:pos="4320"/>
                <w:tab w:val="clear" w:pos="8640"/>
              </w:tabs>
              <w:spacing w:line="240" w:lineRule="exact"/>
              <w:rPr>
                <w:rFonts w:ascii="Arial Narrow" w:hAnsi="Arial Narrow" w:cs="Arial"/>
                <w:b/>
                <w:sz w:val="24"/>
                <w:szCs w:val="24"/>
              </w:rPr>
            </w:pPr>
          </w:p>
        </w:tc>
        <w:tc>
          <w:tcPr>
            <w:tcW w:w="2900" w:type="dxa"/>
            <w:tcBorders>
              <w:top w:val="nil"/>
              <w:left w:val="nil"/>
              <w:bottom w:val="nil"/>
              <w:right w:val="nil"/>
            </w:tcBorders>
          </w:tcPr>
          <w:p w14:paraId="548A1702" w14:textId="4E1BC379" w:rsidR="005B77DF" w:rsidRPr="000F3925" w:rsidRDefault="005B77DF" w:rsidP="005B77DF">
            <w:pPr>
              <w:tabs>
                <w:tab w:val="right" w:pos="3762"/>
              </w:tabs>
              <w:spacing w:line="240" w:lineRule="exact"/>
              <w:rPr>
                <w:rFonts w:ascii="Arial" w:hAnsi="Arial" w:cs="Arial"/>
                <w:b/>
                <w:u w:val="single"/>
              </w:rPr>
            </w:pP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Narrow" w:hAnsi="Arial Narrow" w:cs="Arial"/>
                <w:b/>
                <w:bCs/>
              </w:rPr>
              <w:t xml:space="preserve"> </w:t>
            </w:r>
            <w:r w:rsidRPr="000F3925">
              <w:rPr>
                <w:rFonts w:ascii="Arial Narrow" w:hAnsi="Arial Narrow" w:cs="Arial"/>
                <w:b/>
                <w:bCs/>
              </w:rPr>
              <w:t>COUNTY</w:t>
            </w:r>
          </w:p>
          <w:p w14:paraId="50A1847D" w14:textId="77777777" w:rsidR="005B77DF" w:rsidRPr="000F3925" w:rsidRDefault="005B77DF" w:rsidP="005B77DF">
            <w:pPr>
              <w:tabs>
                <w:tab w:val="right" w:pos="3762"/>
              </w:tabs>
              <w:spacing w:line="240" w:lineRule="exact"/>
              <w:rPr>
                <w:rFonts w:ascii="Arial" w:hAnsi="Arial" w:cs="Arial"/>
                <w:b/>
                <w:u w:val="single"/>
              </w:rPr>
            </w:pPr>
          </w:p>
        </w:tc>
        <w:tc>
          <w:tcPr>
            <w:tcW w:w="1350" w:type="dxa"/>
            <w:vMerge w:val="restart"/>
            <w:tcBorders>
              <w:top w:val="nil"/>
              <w:left w:val="single" w:sz="4" w:space="0" w:color="auto"/>
              <w:right w:val="nil"/>
            </w:tcBorders>
          </w:tcPr>
          <w:p w14:paraId="5F64844D" w14:textId="77777777" w:rsidR="005B77DF" w:rsidRPr="000F3925" w:rsidRDefault="005B77DF" w:rsidP="005B77DF">
            <w:pPr>
              <w:rPr>
                <w:rFonts w:ascii="Arial" w:hAnsi="Arial" w:cs="Arial"/>
              </w:rPr>
            </w:pPr>
          </w:p>
          <w:p w14:paraId="2E347675" w14:textId="77777777" w:rsidR="005B77DF" w:rsidRPr="000F3925" w:rsidRDefault="005B77DF" w:rsidP="005B77DF">
            <w:pPr>
              <w:rPr>
                <w:rFonts w:ascii="Arial" w:hAnsi="Arial" w:cs="Arial"/>
              </w:rPr>
            </w:pPr>
          </w:p>
          <w:p w14:paraId="2DB14357" w14:textId="77777777" w:rsidR="005B77DF" w:rsidRDefault="005B77DF" w:rsidP="005B77DF">
            <w:pPr>
              <w:rPr>
                <w:rFonts w:ascii="Arial" w:hAnsi="Arial" w:cs="Arial"/>
              </w:rPr>
            </w:pPr>
          </w:p>
          <w:p w14:paraId="04713C79" w14:textId="77777777" w:rsidR="005B77DF" w:rsidRPr="000175EE" w:rsidRDefault="005B77DF" w:rsidP="005B77DF">
            <w:pPr>
              <w:rPr>
                <w:rFonts w:ascii="Arial" w:hAnsi="Arial" w:cs="Arial"/>
              </w:rPr>
            </w:pPr>
          </w:p>
          <w:p w14:paraId="07299599" w14:textId="77777777" w:rsidR="005B77DF" w:rsidRPr="000175EE" w:rsidRDefault="005B77DF" w:rsidP="005B77DF">
            <w:pPr>
              <w:rPr>
                <w:rFonts w:ascii="Arial" w:hAnsi="Arial" w:cs="Arial"/>
              </w:rPr>
            </w:pPr>
          </w:p>
          <w:p w14:paraId="615CC56E" w14:textId="77777777" w:rsidR="005B77DF" w:rsidRPr="000175EE" w:rsidRDefault="005B77DF" w:rsidP="005B77DF">
            <w:pPr>
              <w:rPr>
                <w:rFonts w:ascii="Arial" w:hAnsi="Arial" w:cs="Arial"/>
              </w:rPr>
            </w:pPr>
          </w:p>
          <w:p w14:paraId="3F0EE54D" w14:textId="77777777" w:rsidR="005B77DF" w:rsidRPr="000175EE" w:rsidRDefault="005B77DF" w:rsidP="005B77DF">
            <w:pPr>
              <w:rPr>
                <w:rFonts w:ascii="Arial" w:hAnsi="Arial" w:cs="Arial"/>
              </w:rPr>
            </w:pPr>
          </w:p>
          <w:p w14:paraId="397F9ABB" w14:textId="77777777" w:rsidR="005B77DF" w:rsidRDefault="005B77DF" w:rsidP="005B77DF">
            <w:pPr>
              <w:rPr>
                <w:rFonts w:ascii="Arial" w:hAnsi="Arial" w:cs="Arial"/>
              </w:rPr>
            </w:pPr>
          </w:p>
          <w:p w14:paraId="6F5FD704" w14:textId="77777777" w:rsidR="005B77DF" w:rsidRPr="000175EE" w:rsidRDefault="005B77DF" w:rsidP="005B77DF">
            <w:pPr>
              <w:pStyle w:val="Heading3"/>
              <w:spacing w:line="240" w:lineRule="exact"/>
              <w:rPr>
                <w:rFonts w:cs="Arial"/>
              </w:rPr>
            </w:pPr>
            <w:r w:rsidRPr="000F3925">
              <w:rPr>
                <w:rFonts w:cs="Arial"/>
              </w:rPr>
              <w:t>For Official Use</w:t>
            </w:r>
          </w:p>
        </w:tc>
      </w:tr>
      <w:tr w:rsidR="005B77DF" w:rsidRPr="000F3925" w14:paraId="170FE063" w14:textId="77777777" w:rsidTr="007B06DD">
        <w:trPr>
          <w:cantSplit/>
          <w:trHeight w:val="1527"/>
        </w:trPr>
        <w:tc>
          <w:tcPr>
            <w:tcW w:w="8118" w:type="dxa"/>
            <w:gridSpan w:val="2"/>
            <w:tcBorders>
              <w:left w:val="nil"/>
              <w:bottom w:val="single" w:sz="4" w:space="0" w:color="auto"/>
              <w:right w:val="single" w:sz="4" w:space="0" w:color="auto"/>
            </w:tcBorders>
          </w:tcPr>
          <w:p w14:paraId="174CB3B1" w14:textId="77777777" w:rsidR="005B77DF" w:rsidRDefault="005B77DF" w:rsidP="005B77DF">
            <w:pPr>
              <w:rPr>
                <w:rFonts w:ascii="Arial" w:hAnsi="Arial" w:cs="Arial"/>
              </w:rPr>
            </w:pPr>
          </w:p>
          <w:p w14:paraId="74964160" w14:textId="77777777" w:rsidR="005B77DF" w:rsidRDefault="005B77DF" w:rsidP="005B77DF">
            <w:pPr>
              <w:jc w:val="both"/>
              <w:rPr>
                <w:rFonts w:ascii="Arial" w:hAnsi="Arial" w:cs="Arial"/>
              </w:rPr>
            </w:pPr>
            <w:r>
              <w:rPr>
                <w:rFonts w:ascii="Arial" w:hAnsi="Arial" w:cs="Arial"/>
              </w:rPr>
              <w:t>In the Matter of the Mental Condition of:</w:t>
            </w:r>
          </w:p>
          <w:p w14:paraId="4356E2EE" w14:textId="77777777" w:rsidR="005B77DF" w:rsidRDefault="005B77DF" w:rsidP="005B77DF">
            <w:pPr>
              <w:jc w:val="both"/>
              <w:rPr>
                <w:rFonts w:ascii="Arial" w:hAnsi="Arial" w:cs="Arial"/>
              </w:rPr>
            </w:pPr>
            <w:r>
              <w:rPr>
                <w:rFonts w:ascii="Arial" w:hAnsi="Arial" w:cs="Arial"/>
              </w:rPr>
              <w:tab/>
            </w:r>
            <w:r>
              <w:rPr>
                <w:rFonts w:ascii="Arial" w:hAnsi="Arial" w:cs="Arial"/>
              </w:rPr>
              <w:tab/>
            </w:r>
            <w:r w:rsidRPr="005F7EB6">
              <w:rPr>
                <w:rFonts w:ascii="Arial" w:hAnsi="Arial" w:cs="Arial"/>
              </w:rPr>
              <w:tab/>
              <w:t xml:space="preserve">          </w:t>
            </w:r>
            <w:r w:rsidRPr="005F7EB6">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5F7EB6">
              <w:rPr>
                <w:rFonts w:ascii="Arial" w:hAnsi="Arial" w:cs="Arial"/>
              </w:rPr>
              <w:t xml:space="preserve">Case No. </w:t>
            </w:r>
            <w:r>
              <w:rPr>
                <w:rFonts w:ascii="Arial" w:hAnsi="Arial" w:cs="Arial"/>
              </w:rPr>
              <w:fldChar w:fldCharType="begin">
                <w:ffData>
                  <w:name w:val="Text3"/>
                  <w:enabled/>
                  <w:calcOnExit w:val="0"/>
                  <w:textInput>
                    <w:maxLength w:val="3"/>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ME </w:t>
            </w:r>
            <w:r>
              <w:rPr>
                <w:rFonts w:ascii="Arial" w:hAnsi="Arial" w:cs="Arial"/>
              </w:rPr>
              <w:fldChar w:fldCharType="begin">
                <w:ffData>
                  <w:name w:val="Text3"/>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74CA364" w14:textId="77777777" w:rsidR="005B77DF" w:rsidRDefault="005B77DF" w:rsidP="005B77DF">
            <w:pPr>
              <w:jc w:val="both"/>
              <w:rPr>
                <w:rFonts w:ascii="Arial" w:hAnsi="Arial" w:cs="Arial"/>
              </w:rPr>
            </w:pP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p>
          <w:p w14:paraId="522538D9" w14:textId="77777777" w:rsidR="005B77DF" w:rsidRDefault="005B77DF" w:rsidP="005B77DF">
            <w:pPr>
              <w:jc w:val="both"/>
              <w:rPr>
                <w:rFonts w:ascii="Arial" w:hAnsi="Arial" w:cs="Arial"/>
              </w:rPr>
            </w:pPr>
            <w:r>
              <w:rPr>
                <w:rFonts w:ascii="Arial" w:hAnsi="Arial" w:cs="Arial"/>
              </w:rPr>
              <w:t>Alleged to be in need of an involuntary</w:t>
            </w:r>
          </w:p>
          <w:p w14:paraId="7902D10B" w14:textId="77777777" w:rsidR="005B77DF" w:rsidRPr="005F7EB6" w:rsidRDefault="005B77DF" w:rsidP="005B77DF">
            <w:pPr>
              <w:jc w:val="both"/>
              <w:rPr>
                <w:rFonts w:ascii="Arial" w:hAnsi="Arial" w:cs="Arial"/>
              </w:rPr>
            </w:pPr>
            <w:r>
              <w:rPr>
                <w:rFonts w:ascii="Arial" w:hAnsi="Arial" w:cs="Arial"/>
              </w:rPr>
              <w:t>mental commitment.</w:t>
            </w:r>
          </w:p>
          <w:p w14:paraId="66D5E7FF" w14:textId="77777777" w:rsidR="005B77DF" w:rsidRPr="000F3925" w:rsidRDefault="005B77DF" w:rsidP="005B77DF">
            <w:pPr>
              <w:rPr>
                <w:rFonts w:ascii="Arial" w:hAnsi="Arial" w:cs="Arial"/>
              </w:rPr>
            </w:pPr>
          </w:p>
        </w:tc>
        <w:tc>
          <w:tcPr>
            <w:tcW w:w="1350" w:type="dxa"/>
            <w:vMerge/>
            <w:tcBorders>
              <w:left w:val="single" w:sz="4" w:space="0" w:color="auto"/>
              <w:bottom w:val="single" w:sz="4" w:space="0" w:color="auto"/>
              <w:right w:val="nil"/>
            </w:tcBorders>
          </w:tcPr>
          <w:p w14:paraId="37321301" w14:textId="77777777" w:rsidR="005B77DF" w:rsidRPr="000F3925" w:rsidRDefault="005B77DF" w:rsidP="005B77DF">
            <w:pPr>
              <w:spacing w:line="240" w:lineRule="exact"/>
              <w:rPr>
                <w:rFonts w:ascii="Arial" w:hAnsi="Arial" w:cs="Arial"/>
              </w:rPr>
            </w:pPr>
          </w:p>
        </w:tc>
      </w:tr>
      <w:tr w:rsidR="00590EBA" w:rsidRPr="000F3925" w14:paraId="5FA96DA5" w14:textId="77777777" w:rsidTr="0038553B">
        <w:trPr>
          <w:cantSplit/>
          <w:trHeight w:val="519"/>
        </w:trPr>
        <w:tc>
          <w:tcPr>
            <w:tcW w:w="9468" w:type="dxa"/>
            <w:gridSpan w:val="3"/>
            <w:tcBorders>
              <w:left w:val="nil"/>
              <w:right w:val="nil"/>
            </w:tcBorders>
          </w:tcPr>
          <w:p w14:paraId="571FF354" w14:textId="77777777" w:rsidR="00590EBA" w:rsidRPr="000F3925" w:rsidRDefault="00590EBA">
            <w:pPr>
              <w:spacing w:line="240" w:lineRule="exact"/>
              <w:rPr>
                <w:rFonts w:ascii="Arial" w:hAnsi="Arial" w:cs="Arial"/>
              </w:rPr>
            </w:pPr>
          </w:p>
          <w:p w14:paraId="7FC6D4A6" w14:textId="77777777" w:rsidR="00590EBA" w:rsidRDefault="00C35955" w:rsidP="005853B4">
            <w:pPr>
              <w:spacing w:line="240" w:lineRule="exact"/>
              <w:jc w:val="center"/>
              <w:rPr>
                <w:rFonts w:ascii="Arial" w:hAnsi="Arial" w:cs="Arial"/>
                <w:b/>
              </w:rPr>
            </w:pPr>
            <w:r w:rsidRPr="00C35955">
              <w:rPr>
                <w:rFonts w:ascii="Arial" w:hAnsi="Arial" w:cs="Arial"/>
                <w:b/>
              </w:rPr>
              <w:t>SUBJECT’S NOTICE OF MOTIONS AND PRE-PC HEARING MOTIONS</w:t>
            </w:r>
          </w:p>
          <w:p w14:paraId="09D8DD2B" w14:textId="77777777" w:rsidR="00C35955" w:rsidRPr="000F3925" w:rsidRDefault="00C35955" w:rsidP="005853B4">
            <w:pPr>
              <w:spacing w:line="240" w:lineRule="exact"/>
              <w:jc w:val="center"/>
              <w:rPr>
                <w:rFonts w:ascii="Arial" w:hAnsi="Arial" w:cs="Arial"/>
              </w:rPr>
            </w:pPr>
          </w:p>
        </w:tc>
      </w:tr>
    </w:tbl>
    <w:p w14:paraId="01E04789" w14:textId="77777777" w:rsidR="0038553B" w:rsidRPr="00C86D7F" w:rsidRDefault="0038553B" w:rsidP="0038553B">
      <w:pPr>
        <w:pStyle w:val="Heading7"/>
        <w:rPr>
          <w:rFonts w:cs="Arial"/>
          <w:sz w:val="24"/>
          <w:szCs w:val="24"/>
        </w:rPr>
      </w:pPr>
    </w:p>
    <w:p w14:paraId="1424F829" w14:textId="77777777" w:rsidR="00C35955" w:rsidRPr="00C35955" w:rsidRDefault="00C35955" w:rsidP="00C35955">
      <w:pPr>
        <w:spacing w:line="360" w:lineRule="auto"/>
        <w:ind w:firstLine="720"/>
        <w:jc w:val="center"/>
        <w:rPr>
          <w:rFonts w:ascii="Arial" w:hAnsi="Arial" w:cs="Arial"/>
          <w:b/>
        </w:rPr>
      </w:pPr>
      <w:r w:rsidRPr="00C35955">
        <w:rPr>
          <w:rFonts w:ascii="Arial" w:hAnsi="Arial" w:cs="Arial"/>
          <w:b/>
        </w:rPr>
        <w:t>NOTICE</w:t>
      </w:r>
    </w:p>
    <w:p w14:paraId="1FC9FFD4" w14:textId="77777777" w:rsidR="005B77DF" w:rsidRPr="00C35955" w:rsidRDefault="005B77DF" w:rsidP="005B77DF">
      <w:pPr>
        <w:spacing w:line="360" w:lineRule="auto"/>
        <w:rPr>
          <w:rFonts w:ascii="Arial" w:hAnsi="Arial" w:cs="Arial"/>
        </w:rPr>
      </w:pPr>
      <w:r w:rsidRPr="00C35955">
        <w:rPr>
          <w:rFonts w:ascii="Arial" w:hAnsi="Arial" w:cs="Arial"/>
        </w:rPr>
        <w:t xml:space="preserve">TO: </w:t>
      </w:r>
      <w:r w:rsidRPr="00C35955">
        <w:rPr>
          <w:rFonts w:ascii="Arial" w:hAnsi="Arial" w:cs="Arial"/>
        </w:rPr>
        <w:tab/>
      </w:r>
      <w:r>
        <w:rPr>
          <w:rFonts w:ascii="Arial" w:hAnsi="Arial" w:cs="Arial"/>
        </w:rPr>
        <w:fldChar w:fldCharType="begin">
          <w:ffData>
            <w:name w:val=""/>
            <w:enabled/>
            <w:calcOnExit w:val="0"/>
            <w:textInput>
              <w:default w:val="COUN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r>
        <w:rPr>
          <w:rFonts w:ascii="Arial" w:hAnsi="Arial" w:cs="Arial"/>
        </w:rPr>
        <w:t xml:space="preserve"> </w:t>
      </w:r>
      <w:proofErr w:type="spellStart"/>
      <w:r w:rsidRPr="00C35955">
        <w:rPr>
          <w:rFonts w:ascii="Arial" w:hAnsi="Arial" w:cs="Arial"/>
        </w:rPr>
        <w:t>County</w:t>
      </w:r>
      <w:proofErr w:type="spellEnd"/>
      <w:r w:rsidRPr="00C35955">
        <w:rPr>
          <w:rFonts w:ascii="Arial" w:hAnsi="Arial" w:cs="Arial"/>
        </w:rPr>
        <w:t xml:space="preserve"> Corporation Counsel</w:t>
      </w:r>
      <w:r w:rsidRPr="00C35955">
        <w:rPr>
          <w:rFonts w:ascii="Arial" w:hAnsi="Arial" w:cs="Arial"/>
        </w:rPr>
        <w:tab/>
      </w:r>
      <w:r w:rsidRPr="00C35955">
        <w:rPr>
          <w:rFonts w:ascii="Arial" w:hAnsi="Arial" w:cs="Arial"/>
        </w:rPr>
        <w:tab/>
      </w:r>
      <w:r>
        <w:rPr>
          <w:rFonts w:ascii="Arial" w:hAnsi="Arial" w:cs="Arial"/>
        </w:rPr>
        <w:fldChar w:fldCharType="begin">
          <w:ffData>
            <w:name w:val=""/>
            <w:enabled/>
            <w:calcOnExit w:val="0"/>
            <w:textInput>
              <w:default w:val="COUN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r>
        <w:rPr>
          <w:rFonts w:ascii="Arial" w:hAnsi="Arial" w:cs="Arial"/>
        </w:rPr>
        <w:t xml:space="preserve"> </w:t>
      </w:r>
      <w:r w:rsidRPr="00C35955">
        <w:rPr>
          <w:rFonts w:ascii="Arial" w:hAnsi="Arial" w:cs="Arial"/>
        </w:rPr>
        <w:t xml:space="preserve">Probate Clerk </w:t>
      </w:r>
    </w:p>
    <w:p w14:paraId="2368314C" w14:textId="77777777" w:rsidR="005B77DF" w:rsidRDefault="005B77DF" w:rsidP="005B77DF">
      <w:pPr>
        <w:jc w:val="both"/>
        <w:rPr>
          <w:rFonts w:ascii="Arial" w:hAnsi="Arial" w:cs="Arial"/>
        </w:rPr>
      </w:pPr>
      <w:r w:rsidRPr="00C35955">
        <w:rPr>
          <w:rFonts w:ascii="Arial" w:hAnsi="Arial" w:cs="Arial"/>
        </w:rPr>
        <w:tab/>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COUN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r>
        <w:rPr>
          <w:rFonts w:ascii="Arial" w:hAnsi="Arial" w:cs="Arial"/>
        </w:rPr>
        <w:t xml:space="preserve"> </w:t>
      </w:r>
      <w:proofErr w:type="spellStart"/>
      <w:r w:rsidRPr="00C35955">
        <w:rPr>
          <w:rFonts w:ascii="Arial" w:hAnsi="Arial" w:cs="Arial"/>
        </w:rPr>
        <w:t>County</w:t>
      </w:r>
      <w:proofErr w:type="spellEnd"/>
      <w:r w:rsidRPr="00C35955">
        <w:rPr>
          <w:rFonts w:ascii="Arial" w:hAnsi="Arial" w:cs="Arial"/>
        </w:rPr>
        <w:t xml:space="preserve"> Courthouse</w:t>
      </w:r>
    </w:p>
    <w:p w14:paraId="6F37FCCF" w14:textId="77777777" w:rsidR="005B77DF" w:rsidRDefault="005B77DF" w:rsidP="005B77DF">
      <w:pPr>
        <w:jc w:val="both"/>
        <w:rPr>
          <w:rFonts w:ascii="Arial" w:hAnsi="Arial" w:cs="Arial"/>
        </w:rPr>
      </w:pPr>
      <w:r>
        <w:rPr>
          <w:rFonts w:ascii="Arial" w:hAnsi="Arial" w:cs="Arial"/>
        </w:rPr>
        <w:tab/>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1EA86FC" w14:textId="77777777" w:rsidR="005B77DF" w:rsidRDefault="005B77DF" w:rsidP="005B77D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2D496011" w14:textId="77777777" w:rsidR="005B77DF" w:rsidRPr="00C35955" w:rsidRDefault="005B77DF" w:rsidP="005B77DF">
      <w:pPr>
        <w:spacing w:line="360" w:lineRule="auto"/>
        <w:ind w:firstLine="720"/>
        <w:rPr>
          <w:rFonts w:ascii="Arial" w:hAnsi="Arial" w:cs="Arial"/>
        </w:rPr>
      </w:pPr>
    </w:p>
    <w:p w14:paraId="3AE3FDA4" w14:textId="21B9DA5F" w:rsidR="00C35955" w:rsidRDefault="005B77DF" w:rsidP="005B77DF">
      <w:pPr>
        <w:spacing w:line="360" w:lineRule="auto"/>
        <w:ind w:firstLine="720"/>
        <w:rPr>
          <w:rFonts w:ascii="Arial" w:hAnsi="Arial" w:cs="Arial"/>
        </w:rPr>
      </w:pPr>
      <w:r w:rsidRPr="00C35955">
        <w:rPr>
          <w:rFonts w:ascii="Arial" w:hAnsi="Arial" w:cs="Arial"/>
        </w:rPr>
        <w:t xml:space="preserve">PLEASE TAKE NOTICE that the </w:t>
      </w:r>
      <w:r>
        <w:rPr>
          <w:rFonts w:ascii="Arial" w:hAnsi="Arial" w:cs="Arial"/>
        </w:rPr>
        <w:t xml:space="preserve">respondent, </w:t>
      </w: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r>
        <w:rPr>
          <w:rFonts w:ascii="Arial" w:hAnsi="Arial" w:cs="Arial"/>
        </w:rPr>
        <w:t xml:space="preserve">, appearing specially by Atty.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00C35955" w:rsidRPr="00C35955">
        <w:rPr>
          <w:rFonts w:ascii="Arial" w:hAnsi="Arial" w:cs="Arial"/>
        </w:rPr>
        <w:t xml:space="preserve">will bring the following motion before the presiding commissioner at the </w:t>
      </w:r>
      <w:r>
        <w:rPr>
          <w:rFonts w:ascii="Arial" w:hAnsi="Arial" w:cs="Arial"/>
        </w:rPr>
        <w:fldChar w:fldCharType="begin">
          <w:ffData>
            <w:name w:val=""/>
            <w:enabled/>
            <w:calcOnExit w:val="0"/>
            <w:textInput>
              <w:default w:val="COUN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r>
        <w:rPr>
          <w:rFonts w:ascii="Arial" w:hAnsi="Arial" w:cs="Arial"/>
        </w:rPr>
        <w:t xml:space="preserve"> </w:t>
      </w:r>
      <w:proofErr w:type="spellStart"/>
      <w:r w:rsidR="00C35955" w:rsidRPr="00C35955">
        <w:rPr>
          <w:rFonts w:ascii="Arial" w:hAnsi="Arial" w:cs="Arial"/>
        </w:rPr>
        <w:t>County</w:t>
      </w:r>
      <w:proofErr w:type="spellEnd"/>
      <w:r w:rsidR="00C35955" w:rsidRPr="00C35955">
        <w:rPr>
          <w:rFonts w:ascii="Arial" w:hAnsi="Arial" w:cs="Arial"/>
        </w:rPr>
        <w:t xml:space="preserve"> Courthouse,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C35955" w:rsidRPr="00C35955">
        <w:rPr>
          <w:rFonts w:ascii="Arial" w:hAnsi="Arial" w:cs="Arial"/>
        </w:rPr>
        <w:t xml:space="preserve">, on or before the probable cause hearing, currently scheduled for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sidR="00C35955" w:rsidRPr="00C35955">
        <w:rPr>
          <w:rFonts w:ascii="Arial" w:hAnsi="Arial" w:cs="Arial"/>
        </w:rPr>
        <w:t>.</w:t>
      </w:r>
    </w:p>
    <w:p w14:paraId="5786604E" w14:textId="77777777" w:rsidR="00C35955" w:rsidRPr="00C35955" w:rsidRDefault="00C35955" w:rsidP="00C35955">
      <w:pPr>
        <w:spacing w:line="360" w:lineRule="auto"/>
        <w:ind w:firstLine="720"/>
        <w:jc w:val="center"/>
        <w:rPr>
          <w:rFonts w:ascii="Arial" w:hAnsi="Arial" w:cs="Arial"/>
          <w:b/>
        </w:rPr>
      </w:pPr>
      <w:r w:rsidRPr="00C35955">
        <w:rPr>
          <w:rFonts w:ascii="Arial" w:hAnsi="Arial" w:cs="Arial"/>
          <w:b/>
        </w:rPr>
        <w:t>MOTION</w:t>
      </w:r>
    </w:p>
    <w:p w14:paraId="59298779" w14:textId="34237F54" w:rsidR="00C35955" w:rsidRPr="00C35955" w:rsidRDefault="003C1382" w:rsidP="00C35955">
      <w:pPr>
        <w:spacing w:line="360" w:lineRule="auto"/>
        <w:ind w:firstLine="720"/>
        <w:rPr>
          <w:rFonts w:ascii="Arial" w:hAnsi="Arial" w:cs="Arial"/>
        </w:rPr>
      </w:pPr>
      <w:r>
        <w:rPr>
          <w:rFonts w:ascii="Arial" w:hAnsi="Arial" w:cs="Arial"/>
        </w:rPr>
        <w:t xml:space="preserve">The respondent, </w:t>
      </w:r>
      <w:r w:rsidR="005B77DF">
        <w:rPr>
          <w:rFonts w:ascii="Arial" w:hAnsi="Arial" w:cs="Arial"/>
        </w:rPr>
        <w:fldChar w:fldCharType="begin">
          <w:ffData>
            <w:name w:val=""/>
            <w:enabled/>
            <w:calcOnExit w:val="0"/>
            <w:textInput>
              <w:default w:val="CLIENT"/>
            </w:textInput>
          </w:ffData>
        </w:fldChar>
      </w:r>
      <w:r w:rsidR="005B77DF">
        <w:rPr>
          <w:rFonts w:ascii="Arial" w:hAnsi="Arial" w:cs="Arial"/>
        </w:rPr>
        <w:instrText xml:space="preserve"> FORMTEXT </w:instrText>
      </w:r>
      <w:r w:rsidR="005B77DF">
        <w:rPr>
          <w:rFonts w:ascii="Arial" w:hAnsi="Arial" w:cs="Arial"/>
        </w:rPr>
      </w:r>
      <w:r w:rsidR="005B77DF">
        <w:rPr>
          <w:rFonts w:ascii="Arial" w:hAnsi="Arial" w:cs="Arial"/>
        </w:rPr>
        <w:fldChar w:fldCharType="separate"/>
      </w:r>
      <w:r w:rsidR="005B77DF">
        <w:rPr>
          <w:rFonts w:ascii="Arial" w:hAnsi="Arial" w:cs="Arial"/>
          <w:noProof/>
        </w:rPr>
        <w:t>CLIENT</w:t>
      </w:r>
      <w:r w:rsidR="005B77DF">
        <w:rPr>
          <w:rFonts w:ascii="Arial" w:hAnsi="Arial" w:cs="Arial"/>
        </w:rPr>
        <w:fldChar w:fldCharType="end"/>
      </w:r>
      <w:r w:rsidR="005B77DF">
        <w:rPr>
          <w:rFonts w:ascii="Arial" w:hAnsi="Arial" w:cs="Arial"/>
        </w:rPr>
        <w:t xml:space="preserve">, appearing specially by Atty. </w:t>
      </w:r>
      <w:r w:rsidR="005B77DF" w:rsidRPr="000F3925">
        <w:rPr>
          <w:rFonts w:ascii="Arial" w:hAnsi="Arial" w:cs="Arial"/>
        </w:rPr>
        <w:fldChar w:fldCharType="begin">
          <w:ffData>
            <w:name w:val="Text3"/>
            <w:enabled/>
            <w:calcOnExit w:val="0"/>
            <w:textInput/>
          </w:ffData>
        </w:fldChar>
      </w:r>
      <w:r w:rsidR="005B77DF" w:rsidRPr="000F3925">
        <w:rPr>
          <w:rFonts w:ascii="Arial" w:hAnsi="Arial" w:cs="Arial"/>
        </w:rPr>
        <w:instrText xml:space="preserve"> FORMTEXT </w:instrText>
      </w:r>
      <w:r w:rsidR="005B77DF" w:rsidRPr="000F3925">
        <w:rPr>
          <w:rFonts w:ascii="Arial" w:hAnsi="Arial" w:cs="Arial"/>
        </w:rPr>
      </w:r>
      <w:r w:rsidR="005B77DF" w:rsidRPr="000F3925">
        <w:rPr>
          <w:rFonts w:ascii="Arial" w:hAnsi="Arial" w:cs="Arial"/>
        </w:rPr>
        <w:fldChar w:fldCharType="separate"/>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rPr>
        <w:fldChar w:fldCharType="end"/>
      </w:r>
      <w:r w:rsidR="005B77DF">
        <w:rPr>
          <w:rFonts w:ascii="Arial" w:hAnsi="Arial" w:cs="Arial"/>
        </w:rPr>
        <w:t>,</w:t>
      </w:r>
      <w:r>
        <w:rPr>
          <w:rFonts w:ascii="Arial" w:hAnsi="Arial" w:cs="Arial"/>
        </w:rPr>
        <w:t xml:space="preserve"> </w:t>
      </w:r>
      <w:r w:rsidR="00C35955" w:rsidRPr="00C35955">
        <w:rPr>
          <w:rFonts w:ascii="Arial" w:hAnsi="Arial" w:cs="Arial"/>
        </w:rPr>
        <w:t xml:space="preserve">moves the Court for the following: </w:t>
      </w:r>
    </w:p>
    <w:p w14:paraId="293EFF74" w14:textId="77777777" w:rsidR="00C35955" w:rsidRPr="00C35955" w:rsidRDefault="00C35955" w:rsidP="00C35955">
      <w:pPr>
        <w:numPr>
          <w:ilvl w:val="0"/>
          <w:numId w:val="37"/>
        </w:numPr>
        <w:spacing w:line="360" w:lineRule="auto"/>
        <w:rPr>
          <w:rFonts w:ascii="Arial" w:hAnsi="Arial" w:cs="Arial"/>
        </w:rPr>
      </w:pPr>
      <w:r w:rsidRPr="00C35955">
        <w:rPr>
          <w:rFonts w:ascii="Arial" w:hAnsi="Arial" w:cs="Arial"/>
        </w:rPr>
        <w:t xml:space="preserve">An order prohibiting any expert witness to offer any testimony of hearsay for the truth of the matter asserted. Grounds for this motion are as follows: </w:t>
      </w:r>
    </w:p>
    <w:p w14:paraId="70DADE74" w14:textId="77777777" w:rsidR="00C35955" w:rsidRPr="00C35955" w:rsidRDefault="00C35955" w:rsidP="00C35955">
      <w:pPr>
        <w:numPr>
          <w:ilvl w:val="1"/>
          <w:numId w:val="37"/>
        </w:numPr>
        <w:spacing w:line="360" w:lineRule="auto"/>
        <w:rPr>
          <w:rFonts w:ascii="Arial" w:hAnsi="Arial" w:cs="Arial"/>
        </w:rPr>
      </w:pPr>
      <w:r w:rsidRPr="00C35955">
        <w:rPr>
          <w:rFonts w:ascii="Arial" w:hAnsi="Arial" w:cs="Arial"/>
        </w:rPr>
        <w:t xml:space="preserve">While experts may rely upon facts or data that is not otherwise admissible, expert testimony is not otherwise immune from the rules of evidence governing hearsay. Wis. Stat. §§ 907.03; 908.02; 908.03; 908.04; 908.045; 908.05. </w:t>
      </w:r>
    </w:p>
    <w:p w14:paraId="1794F5C3" w14:textId="77777777" w:rsidR="00C35955" w:rsidRPr="00C35955" w:rsidRDefault="00C35955" w:rsidP="00C35955">
      <w:pPr>
        <w:numPr>
          <w:ilvl w:val="1"/>
          <w:numId w:val="37"/>
        </w:numPr>
        <w:spacing w:line="360" w:lineRule="auto"/>
        <w:rPr>
          <w:rFonts w:ascii="Arial" w:hAnsi="Arial" w:cs="Arial"/>
        </w:rPr>
      </w:pPr>
      <w:r w:rsidRPr="00C35955">
        <w:rPr>
          <w:rFonts w:ascii="Arial" w:hAnsi="Arial" w:cs="Arial"/>
        </w:rPr>
        <w:t xml:space="preserve">Admission of hearsay evidence violates a subject’s right to confrontation. </w:t>
      </w:r>
      <w:r w:rsidRPr="00C35955">
        <w:rPr>
          <w:rFonts w:ascii="Arial" w:hAnsi="Arial" w:cs="Arial"/>
          <w:i/>
        </w:rPr>
        <w:t xml:space="preserve">See, generally, </w:t>
      </w:r>
      <w:proofErr w:type="spellStart"/>
      <w:r w:rsidRPr="00C35955">
        <w:rPr>
          <w:rFonts w:ascii="Arial" w:hAnsi="Arial" w:cs="Arial"/>
          <w:i/>
        </w:rPr>
        <w:t>Vitek</w:t>
      </w:r>
      <w:proofErr w:type="spellEnd"/>
      <w:r w:rsidRPr="00C35955">
        <w:rPr>
          <w:rFonts w:ascii="Arial" w:hAnsi="Arial" w:cs="Arial"/>
          <w:i/>
        </w:rPr>
        <w:t xml:space="preserve"> v. Jones</w:t>
      </w:r>
      <w:r w:rsidRPr="00C35955">
        <w:rPr>
          <w:rFonts w:ascii="Arial" w:hAnsi="Arial" w:cs="Arial"/>
        </w:rPr>
        <w:t xml:space="preserve">, 445 U.S. 480 (1980). </w:t>
      </w:r>
    </w:p>
    <w:p w14:paraId="48A509CA" w14:textId="77777777" w:rsidR="00C35955" w:rsidRPr="00C35955" w:rsidRDefault="00C35955" w:rsidP="00C35955">
      <w:pPr>
        <w:numPr>
          <w:ilvl w:val="1"/>
          <w:numId w:val="37"/>
        </w:numPr>
        <w:spacing w:line="360" w:lineRule="auto"/>
        <w:rPr>
          <w:rFonts w:ascii="Arial" w:hAnsi="Arial" w:cs="Arial"/>
        </w:rPr>
      </w:pPr>
      <w:r w:rsidRPr="00C35955">
        <w:rPr>
          <w:rFonts w:ascii="Arial" w:hAnsi="Arial" w:cs="Arial"/>
        </w:rPr>
        <w:t xml:space="preserve">Subjects in civil commitment proceedings are entitled to due process protections. Wis. Stat. § 51.20(5). Using hearsay in such proceedings is a due </w:t>
      </w:r>
      <w:r w:rsidRPr="00C35955">
        <w:rPr>
          <w:rFonts w:ascii="Arial" w:hAnsi="Arial" w:cs="Arial"/>
        </w:rPr>
        <w:lastRenderedPageBreak/>
        <w:t xml:space="preserve">process violation. </w:t>
      </w:r>
      <w:r w:rsidRPr="00C35955">
        <w:rPr>
          <w:rFonts w:ascii="Arial" w:hAnsi="Arial" w:cs="Arial"/>
          <w:i/>
        </w:rPr>
        <w:t>See, generally, Lessard v. Schmidt</w:t>
      </w:r>
      <w:r w:rsidRPr="00C35955">
        <w:rPr>
          <w:rFonts w:ascii="Arial" w:hAnsi="Arial" w:cs="Arial"/>
        </w:rPr>
        <w:t xml:space="preserve">, 349 F. Supp. 1078 (E.D. Wis. 1972); </w:t>
      </w:r>
      <w:r w:rsidRPr="00C35955">
        <w:rPr>
          <w:rFonts w:ascii="Arial" w:hAnsi="Arial" w:cs="Arial"/>
          <w:i/>
        </w:rPr>
        <w:t>see also, generally, S.Y. v. Eau Claire County</w:t>
      </w:r>
      <w:r w:rsidRPr="00C35955">
        <w:rPr>
          <w:rFonts w:ascii="Arial" w:hAnsi="Arial" w:cs="Arial"/>
        </w:rPr>
        <w:t xml:space="preserve">, 156 Wis. 2d 317, 457 N.W.2d 326 (Ct. App. 1990). </w:t>
      </w:r>
    </w:p>
    <w:p w14:paraId="7E755CF3" w14:textId="77777777" w:rsidR="00C35955" w:rsidRPr="00C35955" w:rsidRDefault="00C35955" w:rsidP="00C35955">
      <w:pPr>
        <w:spacing w:line="360" w:lineRule="auto"/>
        <w:ind w:firstLine="720"/>
        <w:rPr>
          <w:rFonts w:ascii="Arial" w:hAnsi="Arial" w:cs="Arial"/>
        </w:rPr>
      </w:pPr>
    </w:p>
    <w:p w14:paraId="777BDCEC" w14:textId="77777777" w:rsidR="00C35955" w:rsidRPr="00C35955" w:rsidRDefault="00C35955" w:rsidP="00C35955">
      <w:pPr>
        <w:numPr>
          <w:ilvl w:val="0"/>
          <w:numId w:val="37"/>
        </w:numPr>
        <w:spacing w:line="360" w:lineRule="auto"/>
        <w:rPr>
          <w:rFonts w:ascii="Arial" w:hAnsi="Arial" w:cs="Arial"/>
        </w:rPr>
      </w:pPr>
      <w:r w:rsidRPr="00C35955">
        <w:rPr>
          <w:rFonts w:ascii="Arial" w:hAnsi="Arial" w:cs="Arial"/>
        </w:rPr>
        <w:t>An order prohibiting any expert witness to offer any testimony of any supposed expert opinion</w:t>
      </w:r>
      <w:r w:rsidRPr="00C35955">
        <w:rPr>
          <w:rFonts w:ascii="Arial" w:hAnsi="Arial" w:cs="Arial"/>
          <w:vertAlign w:val="superscript"/>
        </w:rPr>
        <w:footnoteReference w:id="1"/>
      </w:r>
      <w:r w:rsidRPr="00C35955">
        <w:rPr>
          <w:rFonts w:ascii="Arial" w:hAnsi="Arial" w:cs="Arial"/>
        </w:rPr>
        <w:t xml:space="preserve"> regarding whether the above-named subject is dangerous, as defined by Wis. Stat. § 51.20(1)(a)2. Grounds for this motion are as follows: </w:t>
      </w:r>
    </w:p>
    <w:p w14:paraId="65D7334E" w14:textId="77777777" w:rsidR="00C35955" w:rsidRPr="00C35955" w:rsidRDefault="00C35955" w:rsidP="00C35955">
      <w:pPr>
        <w:numPr>
          <w:ilvl w:val="1"/>
          <w:numId w:val="37"/>
        </w:numPr>
        <w:spacing w:line="360" w:lineRule="auto"/>
        <w:rPr>
          <w:rFonts w:ascii="Arial" w:hAnsi="Arial" w:cs="Arial"/>
        </w:rPr>
      </w:pPr>
      <w:r w:rsidRPr="00C35955">
        <w:rPr>
          <w:rFonts w:ascii="Arial" w:hAnsi="Arial" w:cs="Arial"/>
        </w:rPr>
        <w:t xml:space="preserve">Dangerousness, as defined by Wis. Stat. § 51.20(1)(a)2., is a fact-based inquiry for the fact-finder, not an opinion that an expert could hope to provide. </w:t>
      </w:r>
      <w:r w:rsidRPr="00C35955">
        <w:rPr>
          <w:rFonts w:ascii="Arial" w:hAnsi="Arial" w:cs="Arial"/>
          <w:i/>
        </w:rPr>
        <w:t xml:space="preserve">See </w:t>
      </w:r>
      <w:r w:rsidRPr="00C35955">
        <w:rPr>
          <w:rFonts w:ascii="Arial" w:hAnsi="Arial" w:cs="Arial"/>
        </w:rPr>
        <w:t xml:space="preserve">Wis. Stat. § 51.20(1)(a)2.; </w:t>
      </w:r>
      <w:r w:rsidRPr="00C35955">
        <w:rPr>
          <w:rFonts w:ascii="Arial" w:hAnsi="Arial" w:cs="Arial"/>
          <w:i/>
        </w:rPr>
        <w:t xml:space="preserve">see also </w:t>
      </w:r>
      <w:r w:rsidRPr="00C35955">
        <w:rPr>
          <w:rFonts w:ascii="Arial" w:hAnsi="Arial" w:cs="Arial"/>
        </w:rPr>
        <w:t xml:space="preserve">University of Wisconsin’s Continuing Legal Education for Wisconsin, </w:t>
      </w:r>
      <w:r w:rsidRPr="00C35955">
        <w:rPr>
          <w:rFonts w:ascii="Arial" w:hAnsi="Arial" w:cs="Arial"/>
          <w:i/>
        </w:rPr>
        <w:t>2020 Wisconsin Jury Instructions-Civil 7050 Involuntary Commitment: Mentally Ill – 51.20</w:t>
      </w:r>
      <w:r w:rsidRPr="00C35955">
        <w:rPr>
          <w:rFonts w:ascii="Arial" w:hAnsi="Arial" w:cs="Arial"/>
        </w:rPr>
        <w:t>, 2020 Wisconsin Jury Instructions-Civil (2020) (hereinafter, “</w:t>
      </w:r>
      <w:r w:rsidRPr="00C35955">
        <w:rPr>
          <w:rFonts w:ascii="Arial" w:hAnsi="Arial" w:cs="Arial"/>
          <w:i/>
        </w:rPr>
        <w:t>WI JI-Civil 7050</w:t>
      </w:r>
      <w:r w:rsidRPr="00C35955">
        <w:rPr>
          <w:rFonts w:ascii="Arial" w:hAnsi="Arial" w:cs="Arial"/>
        </w:rPr>
        <w:t xml:space="preserve">”).  </w:t>
      </w:r>
    </w:p>
    <w:p w14:paraId="0BD834FF" w14:textId="77777777" w:rsidR="00C35955" w:rsidRPr="00C35955" w:rsidRDefault="00C35955" w:rsidP="00C35955">
      <w:pPr>
        <w:numPr>
          <w:ilvl w:val="1"/>
          <w:numId w:val="37"/>
        </w:numPr>
        <w:spacing w:line="360" w:lineRule="auto"/>
        <w:rPr>
          <w:rFonts w:ascii="Arial" w:hAnsi="Arial" w:cs="Arial"/>
        </w:rPr>
      </w:pPr>
      <w:r w:rsidRPr="00C35955">
        <w:rPr>
          <w:rFonts w:ascii="Arial" w:hAnsi="Arial" w:cs="Arial"/>
        </w:rPr>
        <w:t xml:space="preserve">Dangerousness, as defined by Wis. Stat. § 51.20(1)(a)2., is not something for which “scientific, technical, or otherwise specialized knowledge” is required to help the fact-finder understand or determine. </w:t>
      </w:r>
      <w:r w:rsidRPr="00C35955">
        <w:rPr>
          <w:rFonts w:ascii="Arial" w:hAnsi="Arial" w:cs="Arial"/>
          <w:i/>
        </w:rPr>
        <w:t xml:space="preserve">See </w:t>
      </w:r>
      <w:r w:rsidRPr="00C35955">
        <w:rPr>
          <w:rFonts w:ascii="Arial" w:hAnsi="Arial" w:cs="Arial"/>
        </w:rPr>
        <w:t xml:space="preserve">Wis. Stat. § 907.02(1). </w:t>
      </w:r>
    </w:p>
    <w:p w14:paraId="0075BF35" w14:textId="3D788C8A" w:rsidR="00C35955" w:rsidRPr="00C35955" w:rsidRDefault="003B667F" w:rsidP="00C35955">
      <w:pPr>
        <w:numPr>
          <w:ilvl w:val="1"/>
          <w:numId w:val="37"/>
        </w:numPr>
        <w:spacing w:line="360" w:lineRule="auto"/>
        <w:rPr>
          <w:rFonts w:ascii="Arial" w:hAnsi="Arial" w:cs="Arial"/>
        </w:rPr>
      </w:pP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r>
        <w:rPr>
          <w:rFonts w:ascii="Arial" w:hAnsi="Arial" w:cs="Arial"/>
        </w:rPr>
        <w:t xml:space="preserve"> </w:t>
      </w:r>
      <w:r w:rsidR="00C35955" w:rsidRPr="00C35955">
        <w:rPr>
          <w:rFonts w:ascii="Arial" w:hAnsi="Arial" w:cs="Arial"/>
        </w:rPr>
        <w:t xml:space="preserve">has no notice of any expert witness who may testify at the probable cause hearing who could have formulated any expert opinions regarding dangerousness as a “product of reliable principles and methods” or who could have “applied the principles and methods reliably to the facts of the case.” </w:t>
      </w:r>
      <w:r w:rsidR="00C35955" w:rsidRPr="00C35955">
        <w:rPr>
          <w:rFonts w:ascii="Arial" w:hAnsi="Arial" w:cs="Arial"/>
          <w:i/>
        </w:rPr>
        <w:t xml:space="preserve">See </w:t>
      </w:r>
      <w:r w:rsidR="00C35955" w:rsidRPr="00C35955">
        <w:rPr>
          <w:rFonts w:ascii="Arial" w:hAnsi="Arial" w:cs="Arial"/>
        </w:rPr>
        <w:t xml:space="preserve">Wis. Stat. § 907.02(1). </w:t>
      </w:r>
    </w:p>
    <w:p w14:paraId="4034F9F1" w14:textId="77777777" w:rsidR="00C35955" w:rsidRPr="00C35955" w:rsidRDefault="00C35955" w:rsidP="00C35955">
      <w:pPr>
        <w:spacing w:line="360" w:lineRule="auto"/>
        <w:ind w:firstLine="720"/>
        <w:rPr>
          <w:rFonts w:ascii="Arial" w:hAnsi="Arial" w:cs="Arial"/>
        </w:rPr>
      </w:pPr>
    </w:p>
    <w:p w14:paraId="4B657A67" w14:textId="24893DEB" w:rsidR="00C35955" w:rsidRPr="00C35955" w:rsidRDefault="00C35955" w:rsidP="00C35955">
      <w:pPr>
        <w:numPr>
          <w:ilvl w:val="1"/>
          <w:numId w:val="37"/>
        </w:numPr>
        <w:spacing w:line="360" w:lineRule="auto"/>
        <w:rPr>
          <w:rFonts w:ascii="Arial" w:hAnsi="Arial" w:cs="Arial"/>
        </w:rPr>
      </w:pPr>
      <w:r w:rsidRPr="00C35955">
        <w:rPr>
          <w:rFonts w:ascii="Arial" w:hAnsi="Arial" w:cs="Arial"/>
        </w:rPr>
        <w:t xml:space="preserve">If the commissioner binds this matter over for a final hearing, </w:t>
      </w:r>
      <w:r w:rsidR="003B667F">
        <w:rPr>
          <w:rFonts w:ascii="Arial" w:hAnsi="Arial" w:cs="Arial"/>
        </w:rPr>
        <w:fldChar w:fldCharType="begin">
          <w:ffData>
            <w:name w:val=""/>
            <w:enabled/>
            <w:calcOnExit w:val="0"/>
            <w:textInput>
              <w:default w:val="CLIENT"/>
            </w:textInput>
          </w:ffData>
        </w:fldChar>
      </w:r>
      <w:r w:rsidR="003B667F">
        <w:rPr>
          <w:rFonts w:ascii="Arial" w:hAnsi="Arial" w:cs="Arial"/>
        </w:rPr>
        <w:instrText xml:space="preserve"> FORMTEXT </w:instrText>
      </w:r>
      <w:r w:rsidR="003B667F">
        <w:rPr>
          <w:rFonts w:ascii="Arial" w:hAnsi="Arial" w:cs="Arial"/>
        </w:rPr>
      </w:r>
      <w:r w:rsidR="003B667F">
        <w:rPr>
          <w:rFonts w:ascii="Arial" w:hAnsi="Arial" w:cs="Arial"/>
        </w:rPr>
        <w:fldChar w:fldCharType="separate"/>
      </w:r>
      <w:r w:rsidR="003B667F">
        <w:rPr>
          <w:rFonts w:ascii="Arial" w:hAnsi="Arial" w:cs="Arial"/>
          <w:noProof/>
        </w:rPr>
        <w:t>CLIENT</w:t>
      </w:r>
      <w:r w:rsidR="003B667F">
        <w:rPr>
          <w:rFonts w:ascii="Arial" w:hAnsi="Arial" w:cs="Arial"/>
        </w:rPr>
        <w:fldChar w:fldCharType="end"/>
      </w:r>
      <w:r w:rsidR="003B667F">
        <w:rPr>
          <w:rFonts w:ascii="Arial" w:hAnsi="Arial" w:cs="Arial"/>
        </w:rPr>
        <w:t xml:space="preserve"> </w:t>
      </w:r>
      <w:r w:rsidRPr="00C35955">
        <w:rPr>
          <w:rFonts w:ascii="Arial" w:hAnsi="Arial" w:cs="Arial"/>
        </w:rPr>
        <w:t xml:space="preserve">anticipates that the Court will appoint two examiners to evaluate him pursuant to Wis. Stat. § 51.20(9). If, </w:t>
      </w:r>
      <w:r w:rsidRPr="00C35955">
        <w:rPr>
          <w:rFonts w:ascii="Arial" w:hAnsi="Arial" w:cs="Arial"/>
          <w:i/>
        </w:rPr>
        <w:t>arguendo</w:t>
      </w:r>
      <w:r w:rsidRPr="00C35955">
        <w:rPr>
          <w:rFonts w:ascii="Arial" w:hAnsi="Arial" w:cs="Arial"/>
        </w:rPr>
        <w:t xml:space="preserve">, any witness at the probable cause hearing could have possibly evaluated </w:t>
      </w:r>
      <w:r w:rsidR="003B667F">
        <w:rPr>
          <w:rFonts w:ascii="Arial" w:hAnsi="Arial" w:cs="Arial"/>
        </w:rPr>
        <w:fldChar w:fldCharType="begin">
          <w:ffData>
            <w:name w:val=""/>
            <w:enabled/>
            <w:calcOnExit w:val="0"/>
            <w:textInput>
              <w:default w:val="CLIENT"/>
            </w:textInput>
          </w:ffData>
        </w:fldChar>
      </w:r>
      <w:r w:rsidR="003B667F">
        <w:rPr>
          <w:rFonts w:ascii="Arial" w:hAnsi="Arial" w:cs="Arial"/>
        </w:rPr>
        <w:instrText xml:space="preserve"> FORMTEXT </w:instrText>
      </w:r>
      <w:r w:rsidR="003B667F">
        <w:rPr>
          <w:rFonts w:ascii="Arial" w:hAnsi="Arial" w:cs="Arial"/>
        </w:rPr>
      </w:r>
      <w:r w:rsidR="003B667F">
        <w:rPr>
          <w:rFonts w:ascii="Arial" w:hAnsi="Arial" w:cs="Arial"/>
        </w:rPr>
        <w:fldChar w:fldCharType="separate"/>
      </w:r>
      <w:r w:rsidR="003B667F">
        <w:rPr>
          <w:rFonts w:ascii="Arial" w:hAnsi="Arial" w:cs="Arial"/>
          <w:noProof/>
        </w:rPr>
        <w:t>CLIENT</w:t>
      </w:r>
      <w:r w:rsidR="003B667F">
        <w:rPr>
          <w:rFonts w:ascii="Arial" w:hAnsi="Arial" w:cs="Arial"/>
        </w:rPr>
        <w:fldChar w:fldCharType="end"/>
      </w:r>
      <w:r w:rsidR="003B667F">
        <w:rPr>
          <w:rFonts w:ascii="Arial" w:hAnsi="Arial" w:cs="Arial"/>
        </w:rPr>
        <w:t xml:space="preserve"> </w:t>
      </w:r>
      <w:r w:rsidRPr="00C35955">
        <w:rPr>
          <w:rFonts w:ascii="Arial" w:hAnsi="Arial" w:cs="Arial"/>
        </w:rPr>
        <w:t xml:space="preserve">in a manner similar to that which is described by Wis. Stat. § 51.20(9), the examiner would still not have statutory authority, guidance, or consent to provide any supposed expert opinion on dangerousness. Sub. (9) directs examiners to, in part, provide </w:t>
      </w:r>
      <w:r w:rsidRPr="00C35955">
        <w:rPr>
          <w:rFonts w:ascii="Arial" w:hAnsi="Arial" w:cs="Arial"/>
        </w:rPr>
        <w:lastRenderedPageBreak/>
        <w:t>testimony and write a report as to “the existence of the conditions described in sub. (</w:t>
      </w:r>
      <w:proofErr w:type="gramStart"/>
      <w:r w:rsidRPr="00C35955">
        <w:rPr>
          <w:rFonts w:ascii="Arial" w:hAnsi="Arial" w:cs="Arial"/>
        </w:rPr>
        <w:t>1)[</w:t>
      </w:r>
      <w:proofErr w:type="gramEnd"/>
      <w:r w:rsidRPr="00C35955">
        <w:rPr>
          <w:rFonts w:ascii="Arial" w:hAnsi="Arial" w:cs="Arial"/>
        </w:rPr>
        <w:t xml:space="preserve">,]” but such directive is not so specific as to direct the examiners to make opinions about dangerousness, specifically. </w:t>
      </w:r>
      <w:r w:rsidRPr="00C35955">
        <w:rPr>
          <w:rFonts w:ascii="Arial" w:hAnsi="Arial" w:cs="Arial"/>
          <w:i/>
        </w:rPr>
        <w:t xml:space="preserve">See </w:t>
      </w:r>
      <w:r w:rsidRPr="00C35955">
        <w:rPr>
          <w:rFonts w:ascii="Arial" w:hAnsi="Arial" w:cs="Arial"/>
        </w:rPr>
        <w:t xml:space="preserve">Wis. Stat. §§ 51.20(1), (9)(a)5. Indeed, sub. (1) provides all elements that the County must prove to the fact-finder. Wis. Stat. §§ 51.20(1). Such elements include whether the subject is mentally ill and a proper subject for treatment. Wis. Stat. §§ 51.20(1)(a)1. These are elements suited for an examiner’s expertise as a psychologist or psychiatrist under a </w:t>
      </w:r>
      <w:r w:rsidRPr="00C35955">
        <w:rPr>
          <w:rFonts w:ascii="Arial" w:hAnsi="Arial" w:cs="Arial"/>
          <w:i/>
        </w:rPr>
        <w:t xml:space="preserve">Daubert </w:t>
      </w:r>
      <w:r w:rsidRPr="00C35955">
        <w:rPr>
          <w:rFonts w:ascii="Arial" w:hAnsi="Arial" w:cs="Arial"/>
        </w:rPr>
        <w:t xml:space="preserve">analysis. By contrast, the “dangerousness” of the subject is based on the existence of certain facts. </w:t>
      </w:r>
      <w:r w:rsidRPr="00C35955">
        <w:rPr>
          <w:rFonts w:ascii="Arial" w:hAnsi="Arial" w:cs="Arial"/>
          <w:i/>
        </w:rPr>
        <w:t xml:space="preserve">See </w:t>
      </w:r>
      <w:r w:rsidRPr="00C35955">
        <w:rPr>
          <w:rFonts w:ascii="Arial" w:hAnsi="Arial" w:cs="Arial"/>
        </w:rPr>
        <w:t xml:space="preserve">Wis. Stat. §§ 51.20(1)(a)2. (describing certain “acts or </w:t>
      </w:r>
      <w:proofErr w:type="gramStart"/>
      <w:r w:rsidRPr="00C35955">
        <w:rPr>
          <w:rFonts w:ascii="Arial" w:hAnsi="Arial" w:cs="Arial"/>
        </w:rPr>
        <w:t>omissions[</w:t>
      </w:r>
      <w:proofErr w:type="gramEnd"/>
      <w:r w:rsidRPr="00C35955">
        <w:rPr>
          <w:rFonts w:ascii="Arial" w:hAnsi="Arial" w:cs="Arial"/>
        </w:rPr>
        <w:t xml:space="preserve">,]” “threat[s,]” and “behavior”). </w:t>
      </w:r>
    </w:p>
    <w:p w14:paraId="0F159D49" w14:textId="77777777" w:rsidR="00C35955" w:rsidRPr="00C35955" w:rsidRDefault="00C35955" w:rsidP="00C35955">
      <w:pPr>
        <w:spacing w:line="360" w:lineRule="auto"/>
        <w:ind w:firstLine="720"/>
        <w:rPr>
          <w:rFonts w:ascii="Arial" w:hAnsi="Arial" w:cs="Arial"/>
        </w:rPr>
      </w:pPr>
    </w:p>
    <w:p w14:paraId="4B3FA128" w14:textId="77777777" w:rsidR="003C1382" w:rsidRPr="00C35955" w:rsidRDefault="00C35955" w:rsidP="00C35955">
      <w:pPr>
        <w:numPr>
          <w:ilvl w:val="0"/>
          <w:numId w:val="37"/>
        </w:numPr>
        <w:spacing w:line="360" w:lineRule="auto"/>
        <w:rPr>
          <w:rFonts w:ascii="Arial" w:hAnsi="Arial" w:cs="Arial"/>
        </w:rPr>
      </w:pPr>
      <w:r w:rsidRPr="00C35955">
        <w:rPr>
          <w:rFonts w:ascii="Arial" w:hAnsi="Arial" w:cs="Arial"/>
        </w:rPr>
        <w:t xml:space="preserve">In the alternative to Motion #2, above, a hearing (prior to the probable cause hearing) pursuant to Wis. Stat. § 907.02(1), and </w:t>
      </w:r>
      <w:r w:rsidRPr="00C35955">
        <w:rPr>
          <w:rFonts w:ascii="Arial" w:hAnsi="Arial" w:cs="Arial"/>
          <w:i/>
        </w:rPr>
        <w:t>Daubert v. Merrell Dow Pharm. Inc.</w:t>
      </w:r>
      <w:r w:rsidRPr="00C35955">
        <w:rPr>
          <w:rFonts w:ascii="Arial" w:hAnsi="Arial" w:cs="Arial"/>
        </w:rPr>
        <w:t>, 509 U.S. 579 (1993) to review the admissibility of any expert testimony, including, but not limited to, whether any expert witnesses possess the requisite expertise to render expert opinions on dangerousness; such requisite expertise requires that they have relied upon principles and methods, peer reviewed and generally accepted in the examiners’ respective fields of expertise and applied facts of the case to those principles and methods.</w:t>
      </w:r>
    </w:p>
    <w:p w14:paraId="631658BD" w14:textId="77777777" w:rsidR="003C1382" w:rsidRPr="00C86D7F" w:rsidRDefault="003C1382" w:rsidP="003C1382">
      <w:pPr>
        <w:spacing w:line="360" w:lineRule="auto"/>
        <w:rPr>
          <w:rFonts w:ascii="Arial" w:hAnsi="Arial" w:cs="Arial"/>
        </w:rPr>
      </w:pPr>
    </w:p>
    <w:p w14:paraId="3DA37AC3" w14:textId="77777777" w:rsidR="005B77DF" w:rsidRPr="00C86D7F" w:rsidRDefault="00077DAF" w:rsidP="005B77DF">
      <w:pPr>
        <w:jc w:val="both"/>
        <w:rPr>
          <w:rFonts w:ascii="Arial" w:hAnsi="Arial" w:cs="Arial"/>
        </w:rPr>
      </w:pPr>
      <w:r>
        <w:rPr>
          <w:rFonts w:ascii="Arial" w:hAnsi="Arial" w:cs="Arial"/>
        </w:rPr>
        <w:tab/>
      </w:r>
      <w:bookmarkStart w:id="1" w:name="_Hlk88077969"/>
      <w:r w:rsidR="005B77DF" w:rsidRPr="00C86D7F">
        <w:rPr>
          <w:rFonts w:ascii="Arial" w:hAnsi="Arial" w:cs="Arial"/>
        </w:rPr>
        <w:t xml:space="preserve">Dated at </w:t>
      </w:r>
      <w:r w:rsidR="005B77DF" w:rsidRPr="000F3925">
        <w:rPr>
          <w:rFonts w:ascii="Arial" w:hAnsi="Arial" w:cs="Arial"/>
        </w:rPr>
        <w:fldChar w:fldCharType="begin">
          <w:ffData>
            <w:name w:val="Text3"/>
            <w:enabled/>
            <w:calcOnExit w:val="0"/>
            <w:textInput/>
          </w:ffData>
        </w:fldChar>
      </w:r>
      <w:r w:rsidR="005B77DF" w:rsidRPr="000F3925">
        <w:rPr>
          <w:rFonts w:ascii="Arial" w:hAnsi="Arial" w:cs="Arial"/>
        </w:rPr>
        <w:instrText xml:space="preserve"> FORMTEXT </w:instrText>
      </w:r>
      <w:r w:rsidR="005B77DF" w:rsidRPr="000F3925">
        <w:rPr>
          <w:rFonts w:ascii="Arial" w:hAnsi="Arial" w:cs="Arial"/>
        </w:rPr>
      </w:r>
      <w:r w:rsidR="005B77DF" w:rsidRPr="000F3925">
        <w:rPr>
          <w:rFonts w:ascii="Arial" w:hAnsi="Arial" w:cs="Arial"/>
        </w:rPr>
        <w:fldChar w:fldCharType="separate"/>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rPr>
        <w:fldChar w:fldCharType="end"/>
      </w:r>
      <w:r w:rsidR="005B77DF" w:rsidRPr="00C86D7F">
        <w:rPr>
          <w:rFonts w:ascii="Arial" w:hAnsi="Arial" w:cs="Arial"/>
        </w:rPr>
        <w:t xml:space="preserve">, Wisconsin, this </w:t>
      </w:r>
      <w:r w:rsidR="005B77DF" w:rsidRPr="000F3925">
        <w:rPr>
          <w:rFonts w:ascii="Arial" w:hAnsi="Arial" w:cs="Arial"/>
        </w:rPr>
        <w:fldChar w:fldCharType="begin">
          <w:ffData>
            <w:name w:val="Text3"/>
            <w:enabled/>
            <w:calcOnExit w:val="0"/>
            <w:textInput/>
          </w:ffData>
        </w:fldChar>
      </w:r>
      <w:r w:rsidR="005B77DF" w:rsidRPr="000F3925">
        <w:rPr>
          <w:rFonts w:ascii="Arial" w:hAnsi="Arial" w:cs="Arial"/>
        </w:rPr>
        <w:instrText xml:space="preserve"> FORMTEXT </w:instrText>
      </w:r>
      <w:r w:rsidR="005B77DF" w:rsidRPr="000F3925">
        <w:rPr>
          <w:rFonts w:ascii="Arial" w:hAnsi="Arial" w:cs="Arial"/>
        </w:rPr>
      </w:r>
      <w:r w:rsidR="005B77DF" w:rsidRPr="000F3925">
        <w:rPr>
          <w:rFonts w:ascii="Arial" w:hAnsi="Arial" w:cs="Arial"/>
        </w:rPr>
        <w:fldChar w:fldCharType="separate"/>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rPr>
        <w:fldChar w:fldCharType="end"/>
      </w:r>
      <w:r w:rsidR="005B77DF">
        <w:rPr>
          <w:rFonts w:ascii="Arial" w:hAnsi="Arial" w:cs="Arial"/>
        </w:rPr>
        <w:t xml:space="preserve"> </w:t>
      </w:r>
      <w:r w:rsidR="005B77DF" w:rsidRPr="00C86D7F">
        <w:rPr>
          <w:rFonts w:ascii="Arial" w:hAnsi="Arial" w:cs="Arial"/>
        </w:rPr>
        <w:t xml:space="preserve">day of </w:t>
      </w:r>
      <w:r w:rsidR="005B77DF" w:rsidRPr="000F3925">
        <w:rPr>
          <w:rFonts w:ascii="Arial" w:hAnsi="Arial" w:cs="Arial"/>
        </w:rPr>
        <w:fldChar w:fldCharType="begin">
          <w:ffData>
            <w:name w:val="Text3"/>
            <w:enabled/>
            <w:calcOnExit w:val="0"/>
            <w:textInput/>
          </w:ffData>
        </w:fldChar>
      </w:r>
      <w:r w:rsidR="005B77DF" w:rsidRPr="000F3925">
        <w:rPr>
          <w:rFonts w:ascii="Arial" w:hAnsi="Arial" w:cs="Arial"/>
        </w:rPr>
        <w:instrText xml:space="preserve"> FORMTEXT </w:instrText>
      </w:r>
      <w:r w:rsidR="005B77DF" w:rsidRPr="000F3925">
        <w:rPr>
          <w:rFonts w:ascii="Arial" w:hAnsi="Arial" w:cs="Arial"/>
        </w:rPr>
      </w:r>
      <w:r w:rsidR="005B77DF" w:rsidRPr="000F3925">
        <w:rPr>
          <w:rFonts w:ascii="Arial" w:hAnsi="Arial" w:cs="Arial"/>
        </w:rPr>
        <w:fldChar w:fldCharType="separate"/>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rPr>
        <w:fldChar w:fldCharType="end"/>
      </w:r>
      <w:r w:rsidR="005B77DF" w:rsidRPr="00C86D7F">
        <w:rPr>
          <w:rFonts w:ascii="Arial" w:hAnsi="Arial" w:cs="Arial"/>
        </w:rPr>
        <w:t>, 20</w:t>
      </w:r>
      <w:r w:rsidR="005B77DF" w:rsidRPr="000F3925">
        <w:rPr>
          <w:rFonts w:ascii="Arial" w:hAnsi="Arial" w:cs="Arial"/>
        </w:rPr>
        <w:fldChar w:fldCharType="begin">
          <w:ffData>
            <w:name w:val="Text3"/>
            <w:enabled/>
            <w:calcOnExit w:val="0"/>
            <w:textInput/>
          </w:ffData>
        </w:fldChar>
      </w:r>
      <w:r w:rsidR="005B77DF" w:rsidRPr="000F3925">
        <w:rPr>
          <w:rFonts w:ascii="Arial" w:hAnsi="Arial" w:cs="Arial"/>
        </w:rPr>
        <w:instrText xml:space="preserve"> FORMTEXT </w:instrText>
      </w:r>
      <w:r w:rsidR="005B77DF" w:rsidRPr="000F3925">
        <w:rPr>
          <w:rFonts w:ascii="Arial" w:hAnsi="Arial" w:cs="Arial"/>
        </w:rPr>
      </w:r>
      <w:r w:rsidR="005B77DF" w:rsidRPr="000F3925">
        <w:rPr>
          <w:rFonts w:ascii="Arial" w:hAnsi="Arial" w:cs="Arial"/>
        </w:rPr>
        <w:fldChar w:fldCharType="separate"/>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noProof/>
        </w:rPr>
        <w:t> </w:t>
      </w:r>
      <w:r w:rsidR="005B77DF" w:rsidRPr="000F3925">
        <w:rPr>
          <w:rFonts w:ascii="Arial" w:hAnsi="Arial" w:cs="Arial"/>
        </w:rPr>
        <w:fldChar w:fldCharType="end"/>
      </w:r>
      <w:r w:rsidR="005B77DF">
        <w:rPr>
          <w:rFonts w:ascii="Arial" w:hAnsi="Arial" w:cs="Arial"/>
        </w:rPr>
        <w:t>.</w:t>
      </w:r>
    </w:p>
    <w:p w14:paraId="43A95E63" w14:textId="77777777" w:rsidR="005B77DF" w:rsidRPr="00C86D7F" w:rsidRDefault="005B77DF" w:rsidP="005B77DF">
      <w:pPr>
        <w:jc w:val="both"/>
        <w:rPr>
          <w:rFonts w:ascii="Arial" w:hAnsi="Arial" w:cs="Arial"/>
        </w:rPr>
      </w:pPr>
    </w:p>
    <w:p w14:paraId="5396C3BF" w14:textId="77777777" w:rsidR="005B77DF" w:rsidRPr="00C86D7F" w:rsidRDefault="005B77DF" w:rsidP="005B77DF">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t>Respectfully submitted,</w:t>
      </w:r>
    </w:p>
    <w:p w14:paraId="59E050AD" w14:textId="77777777" w:rsidR="005B77DF" w:rsidRPr="00C86D7F" w:rsidRDefault="005B77DF" w:rsidP="005B77DF">
      <w:pPr>
        <w:jc w:val="both"/>
        <w:rPr>
          <w:rFonts w:ascii="Arial" w:hAnsi="Arial" w:cs="Arial"/>
        </w:rPr>
      </w:pPr>
    </w:p>
    <w:p w14:paraId="0D83D1F8" w14:textId="77777777" w:rsidR="005B77DF" w:rsidRPr="00C86D7F" w:rsidRDefault="005B77DF" w:rsidP="005B77DF">
      <w:pPr>
        <w:jc w:val="both"/>
        <w:rPr>
          <w:rFonts w:ascii="Arial" w:hAnsi="Arial" w:cs="Arial"/>
        </w:rPr>
      </w:pPr>
    </w:p>
    <w:p w14:paraId="151AD7C3" w14:textId="77777777" w:rsidR="005B77DF" w:rsidRPr="00C86D7F" w:rsidRDefault="005B77DF" w:rsidP="005B77DF">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Pr>
          <w:rFonts w:ascii="Arial" w:hAnsi="Arial" w:cs="Arial"/>
        </w:rPr>
        <w:tab/>
      </w:r>
      <w:r>
        <w:rPr>
          <w:rFonts w:ascii="Arial" w:hAnsi="Arial" w:cs="Arial"/>
        </w:rPr>
        <w:tab/>
      </w:r>
      <w:r>
        <w:rPr>
          <w:rFonts w:ascii="Arial" w:hAnsi="Arial" w:cs="Arial"/>
          <w:u w:val="single"/>
        </w:rPr>
        <w:t xml:space="preserve">Electronically signed by </w:t>
      </w:r>
      <w:r w:rsidRPr="007E5A62">
        <w:rPr>
          <w:rFonts w:ascii="Arial" w:hAnsi="Arial" w:cs="Arial"/>
          <w:u w:val="single"/>
        </w:rPr>
        <w:fldChar w:fldCharType="begin">
          <w:ffData>
            <w:name w:val=""/>
            <w:enabled/>
            <w:calcOnExit w:val="0"/>
            <w:textInput>
              <w:default w:val="Attorney"/>
            </w:textInput>
          </w:ffData>
        </w:fldChar>
      </w:r>
      <w:r w:rsidRPr="007E5A62">
        <w:rPr>
          <w:rFonts w:ascii="Arial" w:hAnsi="Arial" w:cs="Arial"/>
          <w:u w:val="single"/>
        </w:rPr>
        <w:instrText xml:space="preserve"> FORMTEXT </w:instrText>
      </w:r>
      <w:r w:rsidRPr="007E5A62">
        <w:rPr>
          <w:rFonts w:ascii="Arial" w:hAnsi="Arial" w:cs="Arial"/>
          <w:u w:val="single"/>
        </w:rPr>
      </w:r>
      <w:r w:rsidRPr="007E5A62">
        <w:rPr>
          <w:rFonts w:ascii="Arial" w:hAnsi="Arial" w:cs="Arial"/>
          <w:u w:val="single"/>
        </w:rPr>
        <w:fldChar w:fldCharType="separate"/>
      </w:r>
      <w:r w:rsidRPr="007E5A62">
        <w:rPr>
          <w:rFonts w:ascii="Arial" w:hAnsi="Arial" w:cs="Arial"/>
          <w:noProof/>
          <w:u w:val="single"/>
        </w:rPr>
        <w:t>Attorney</w:t>
      </w:r>
      <w:r w:rsidRPr="007E5A62">
        <w:rPr>
          <w:rFonts w:ascii="Arial" w:hAnsi="Arial" w:cs="Arial"/>
          <w:u w:val="single"/>
        </w:rPr>
        <w:fldChar w:fldCharType="end"/>
      </w:r>
      <w:r>
        <w:rPr>
          <w:rFonts w:ascii="Arial" w:hAnsi="Arial" w:cs="Arial"/>
          <w:u w:val="single"/>
        </w:rPr>
        <w:t xml:space="preserve"> </w:t>
      </w:r>
    </w:p>
    <w:p w14:paraId="41D3FDF3" w14:textId="77777777" w:rsidR="005B77DF" w:rsidRPr="00C86D7F" w:rsidRDefault="005B77DF" w:rsidP="005B77DF">
      <w:pPr>
        <w:ind w:left="4320" w:firstLine="720"/>
        <w:jc w:val="both"/>
        <w:rPr>
          <w:rFonts w:ascii="Arial" w:hAnsi="Arial" w:cs="Arial"/>
        </w:rPr>
      </w:pPr>
      <w:r>
        <w:rPr>
          <w:rFonts w:ascii="Arial" w:hAnsi="Arial" w:cs="Arial"/>
        </w:rPr>
        <w:fldChar w:fldCharType="begin">
          <w:ffData>
            <w:name w:val=""/>
            <w:enabled/>
            <w:calcOnExit w:val="0"/>
            <w:textInput>
              <w:default w:val="Attorne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w:t>
      </w:r>
      <w:r>
        <w:rPr>
          <w:rFonts w:ascii="Arial" w:hAnsi="Arial" w:cs="Arial"/>
        </w:rPr>
        <w:fldChar w:fldCharType="end"/>
      </w:r>
      <w:r w:rsidRPr="00C86D7F">
        <w:rPr>
          <w:rFonts w:ascii="Arial" w:hAnsi="Arial" w:cs="Arial"/>
        </w:rPr>
        <w:t xml:space="preserve">, Bar No.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7CC23043" w14:textId="77777777" w:rsidR="005B77DF" w:rsidRPr="00C86D7F" w:rsidRDefault="005B77DF" w:rsidP="005B77DF">
      <w:pPr>
        <w:ind w:left="4320" w:firstLine="720"/>
        <w:jc w:val="both"/>
        <w:rPr>
          <w:rFonts w:ascii="Arial" w:hAnsi="Arial" w:cs="Arial"/>
        </w:rPr>
      </w:pPr>
      <w:r w:rsidRPr="00C86D7F">
        <w:rPr>
          <w:rFonts w:ascii="Arial" w:hAnsi="Arial" w:cs="Arial"/>
        </w:rPr>
        <w:t xml:space="preserve">Attorney for </w:t>
      </w:r>
      <w:r>
        <w:rPr>
          <w:rFonts w:ascii="Arial" w:hAnsi="Arial" w:cs="Arial"/>
        </w:rPr>
        <w:t>Respondent</w:t>
      </w:r>
    </w:p>
    <w:p w14:paraId="40C26424" w14:textId="77777777" w:rsidR="005B77DF" w:rsidRPr="00C86D7F" w:rsidRDefault="005B77DF" w:rsidP="005B77DF">
      <w:pPr>
        <w:ind w:left="4320" w:firstLine="720"/>
        <w:jc w:val="both"/>
        <w:rPr>
          <w:rFonts w:ascii="Arial" w:hAnsi="Arial" w:cs="Arial"/>
        </w:rPr>
      </w:pPr>
      <w:r w:rsidRPr="00C86D7F">
        <w:rPr>
          <w:rFonts w:ascii="Arial" w:hAnsi="Arial" w:cs="Arial"/>
        </w:rPr>
        <w:t>State Public Defender's Office</w:t>
      </w:r>
    </w:p>
    <w:p w14:paraId="7C887ED5" w14:textId="77777777" w:rsidR="005B77DF" w:rsidRDefault="005B77DF" w:rsidP="005B77DF">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B76B5B4" w14:textId="77777777" w:rsidR="005B77DF" w:rsidRDefault="005B77DF" w:rsidP="005B77DF">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34258BD7" w14:textId="77777777" w:rsidR="005B77DF" w:rsidRDefault="005B77DF" w:rsidP="005B77DF">
      <w:pPr>
        <w:ind w:left="4320" w:firstLine="720"/>
        <w:jc w:val="both"/>
        <w:rPr>
          <w:rFonts w:ascii="Arial" w:hAnsi="Arial" w:cs="Arial"/>
        </w:rPr>
      </w:pP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bookmarkEnd w:id="1"/>
    <w:p w14:paraId="16D5E0F0" w14:textId="1F727B98" w:rsidR="00C86D7F" w:rsidRPr="00C86D7F" w:rsidRDefault="00C86D7F" w:rsidP="005B77DF">
      <w:pPr>
        <w:spacing w:line="360" w:lineRule="auto"/>
        <w:jc w:val="both"/>
        <w:rPr>
          <w:rFonts w:ascii="Arial" w:hAnsi="Arial" w:cs="Arial"/>
        </w:rPr>
      </w:pPr>
    </w:p>
    <w:sectPr w:rsidR="00C86D7F" w:rsidRPr="00C86D7F" w:rsidSect="00666EE2">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9F5D" w14:textId="77777777" w:rsidR="00C96D62" w:rsidRDefault="00C96D62">
      <w:r>
        <w:separator/>
      </w:r>
    </w:p>
  </w:endnote>
  <w:endnote w:type="continuationSeparator" w:id="0">
    <w:p w14:paraId="4E4BF085" w14:textId="77777777" w:rsidR="00C96D62" w:rsidRDefault="00C9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99965498"/>
      <w:docPartObj>
        <w:docPartGallery w:val="Page Numbers (Bottom of Page)"/>
        <w:docPartUnique/>
      </w:docPartObj>
    </w:sdtPr>
    <w:sdtEndPr>
      <w:rPr>
        <w:noProof/>
      </w:rPr>
    </w:sdtEndPr>
    <w:sdtContent>
      <w:p w14:paraId="2B5DAFE7" w14:textId="77777777" w:rsidR="00C35955" w:rsidRPr="00C35955" w:rsidRDefault="00C35955">
        <w:pPr>
          <w:pStyle w:val="Footer"/>
          <w:jc w:val="center"/>
          <w:rPr>
            <w:rFonts w:ascii="Arial" w:hAnsi="Arial" w:cs="Arial"/>
          </w:rPr>
        </w:pPr>
        <w:r w:rsidRPr="00C35955">
          <w:rPr>
            <w:rFonts w:ascii="Arial" w:hAnsi="Arial" w:cs="Arial"/>
          </w:rPr>
          <w:fldChar w:fldCharType="begin"/>
        </w:r>
        <w:r w:rsidRPr="00C35955">
          <w:rPr>
            <w:rFonts w:ascii="Arial" w:hAnsi="Arial" w:cs="Arial"/>
          </w:rPr>
          <w:instrText xml:space="preserve"> PAGE   \* MERGEFORMAT </w:instrText>
        </w:r>
        <w:r w:rsidRPr="00C35955">
          <w:rPr>
            <w:rFonts w:ascii="Arial" w:hAnsi="Arial" w:cs="Arial"/>
          </w:rPr>
          <w:fldChar w:fldCharType="separate"/>
        </w:r>
        <w:r>
          <w:rPr>
            <w:rFonts w:ascii="Arial" w:hAnsi="Arial" w:cs="Arial"/>
            <w:noProof/>
          </w:rPr>
          <w:t>3</w:t>
        </w:r>
        <w:r w:rsidRPr="00C35955">
          <w:rPr>
            <w:rFonts w:ascii="Arial" w:hAnsi="Arial" w:cs="Arial"/>
            <w:noProof/>
          </w:rPr>
          <w:fldChar w:fldCharType="end"/>
        </w:r>
      </w:p>
    </w:sdtContent>
  </w:sdt>
  <w:p w14:paraId="4431FB2C" w14:textId="77777777" w:rsidR="00C86D7F" w:rsidRDefault="00C86D7F">
    <w:pPr>
      <w:pStyle w:val="Footer"/>
      <w:tabs>
        <w:tab w:val="left" w:pos="1170"/>
        <w:tab w:val="left" w:pos="2430"/>
      </w:tabs>
      <w:jc w:val="cen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B33F" w14:textId="77777777" w:rsidR="00C96D62" w:rsidRDefault="00C96D62">
      <w:r>
        <w:separator/>
      </w:r>
    </w:p>
  </w:footnote>
  <w:footnote w:type="continuationSeparator" w:id="0">
    <w:p w14:paraId="3EB12159" w14:textId="77777777" w:rsidR="00C96D62" w:rsidRDefault="00C96D62">
      <w:r>
        <w:continuationSeparator/>
      </w:r>
    </w:p>
  </w:footnote>
  <w:footnote w:id="1">
    <w:p w14:paraId="0B73D738" w14:textId="77777777" w:rsidR="00C35955" w:rsidRPr="00C35955" w:rsidRDefault="00C35955" w:rsidP="00C35955">
      <w:pPr>
        <w:pStyle w:val="FootnoteText"/>
        <w:jc w:val="both"/>
        <w:rPr>
          <w:rFonts w:ascii="Arial" w:hAnsi="Arial" w:cs="Arial"/>
        </w:rPr>
      </w:pPr>
      <w:r w:rsidRPr="00C35955">
        <w:rPr>
          <w:rStyle w:val="FootnoteReference"/>
          <w:rFonts w:ascii="Arial" w:hAnsi="Arial" w:cs="Arial"/>
        </w:rPr>
        <w:footnoteRef/>
      </w:r>
      <w:r w:rsidRPr="00C35955">
        <w:rPr>
          <w:rFonts w:ascii="Arial" w:hAnsi="Arial" w:cs="Arial"/>
        </w:rPr>
        <w:t xml:space="preserve"> If any expert also has personal knowledge of any alleged facts that the County may wish to offer for dangerousness, that is a different issue than (CLIENT) presents here. Here, (CLIENT) simply seeks to preclude the County from offering expert opinions in the place of factual evidence.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62"/>
    <w:multiLevelType w:val="hybridMultilevel"/>
    <w:tmpl w:val="AC224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2" w15:restartNumberingAfterBreak="0">
    <w:nsid w:val="062E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53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4C16666"/>
    <w:multiLevelType w:val="hybridMultilevel"/>
    <w:tmpl w:val="48A2E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8" w15:restartNumberingAfterBreak="0">
    <w:nsid w:val="235C34BB"/>
    <w:multiLevelType w:val="hybridMultilevel"/>
    <w:tmpl w:val="51323C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10" w15:restartNumberingAfterBreak="0">
    <w:nsid w:val="252B0A5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591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13"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4"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5" w15:restartNumberingAfterBreak="0">
    <w:nsid w:val="34026ADF"/>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16" w15:restartNumberingAfterBreak="0">
    <w:nsid w:val="3B71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FC3605"/>
    <w:multiLevelType w:val="hybridMultilevel"/>
    <w:tmpl w:val="6B669894"/>
    <w:lvl w:ilvl="0" w:tplc="FFFFFFFF">
      <w:start w:val="1"/>
      <w:numFmt w:val="decimal"/>
      <w:lvlText w:val="%1."/>
      <w:lvlJc w:val="left"/>
      <w:pPr>
        <w:tabs>
          <w:tab w:val="num" w:pos="990"/>
        </w:tabs>
        <w:ind w:left="990" w:hanging="360"/>
      </w:pPr>
      <w:rPr>
        <w:rFonts w:hint="default"/>
      </w:rPr>
    </w:lvl>
    <w:lvl w:ilvl="1" w:tplc="FFFFFFFF">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8" w15:restartNumberingAfterBreak="0">
    <w:nsid w:val="40A9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074C45"/>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0" w15:restartNumberingAfterBreak="0">
    <w:nsid w:val="466305CC"/>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1" w15:restartNumberingAfterBreak="0">
    <w:nsid w:val="47F41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FE4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1E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5C4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347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A6E9A"/>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1F6AD9"/>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8" w15:restartNumberingAfterBreak="0">
    <w:nsid w:val="535232D2"/>
    <w:multiLevelType w:val="hybridMultilevel"/>
    <w:tmpl w:val="EE862936"/>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3A545C"/>
    <w:multiLevelType w:val="hybridMultilevel"/>
    <w:tmpl w:val="5F7EF508"/>
    <w:lvl w:ilvl="0" w:tplc="5E2C36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1" w15:restartNumberingAfterBreak="0">
    <w:nsid w:val="6C1E7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7C51E3"/>
    <w:multiLevelType w:val="singleLevel"/>
    <w:tmpl w:val="8548B2B8"/>
    <w:lvl w:ilvl="0">
      <w:start w:val="1"/>
      <w:numFmt w:val="decimal"/>
      <w:lvlText w:val="%1."/>
      <w:lvlJc w:val="left"/>
      <w:pPr>
        <w:tabs>
          <w:tab w:val="num" w:pos="810"/>
        </w:tabs>
        <w:ind w:left="810" w:hanging="360"/>
      </w:pPr>
      <w:rPr>
        <w:rFonts w:hint="default"/>
      </w:rPr>
    </w:lvl>
  </w:abstractNum>
  <w:abstractNum w:abstractNumId="33"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8A4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2D4049"/>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30"/>
  </w:num>
  <w:num w:numId="2">
    <w:abstractNumId w:val="4"/>
  </w:num>
  <w:num w:numId="3">
    <w:abstractNumId w:val="13"/>
  </w:num>
  <w:num w:numId="4">
    <w:abstractNumId w:val="33"/>
  </w:num>
  <w:num w:numId="5">
    <w:abstractNumId w:val="1"/>
  </w:num>
  <w:num w:numId="6">
    <w:abstractNumId w:val="36"/>
  </w:num>
  <w:num w:numId="7">
    <w:abstractNumId w:val="9"/>
  </w:num>
  <w:num w:numId="8">
    <w:abstractNumId w:val="6"/>
  </w:num>
  <w:num w:numId="9">
    <w:abstractNumId w:val="14"/>
  </w:num>
  <w:num w:numId="10">
    <w:abstractNumId w:val="7"/>
  </w:num>
  <w:num w:numId="11">
    <w:abstractNumId w:val="12"/>
  </w:num>
  <w:num w:numId="12">
    <w:abstractNumId w:val="23"/>
  </w:num>
  <w:num w:numId="13">
    <w:abstractNumId w:val="16"/>
  </w:num>
  <w:num w:numId="14">
    <w:abstractNumId w:val="31"/>
  </w:num>
  <w:num w:numId="15">
    <w:abstractNumId w:val="11"/>
  </w:num>
  <w:num w:numId="16">
    <w:abstractNumId w:val="18"/>
  </w:num>
  <w:num w:numId="17">
    <w:abstractNumId w:val="25"/>
  </w:num>
  <w:num w:numId="18">
    <w:abstractNumId w:val="32"/>
  </w:num>
  <w:num w:numId="19">
    <w:abstractNumId w:val="3"/>
  </w:num>
  <w:num w:numId="20">
    <w:abstractNumId w:val="2"/>
  </w:num>
  <w:num w:numId="21">
    <w:abstractNumId w:val="17"/>
  </w:num>
  <w:num w:numId="22">
    <w:abstractNumId w:val="0"/>
  </w:num>
  <w:num w:numId="23">
    <w:abstractNumId w:val="28"/>
  </w:num>
  <w:num w:numId="24">
    <w:abstractNumId w:val="8"/>
  </w:num>
  <w:num w:numId="25">
    <w:abstractNumId w:val="5"/>
  </w:num>
  <w:num w:numId="26">
    <w:abstractNumId w:val="21"/>
  </w:num>
  <w:num w:numId="27">
    <w:abstractNumId w:val="34"/>
  </w:num>
  <w:num w:numId="28">
    <w:abstractNumId w:val="10"/>
  </w:num>
  <w:num w:numId="29">
    <w:abstractNumId w:val="24"/>
  </w:num>
  <w:num w:numId="30">
    <w:abstractNumId w:val="22"/>
  </w:num>
  <w:num w:numId="31">
    <w:abstractNumId w:val="35"/>
  </w:num>
  <w:num w:numId="32">
    <w:abstractNumId w:val="26"/>
  </w:num>
  <w:num w:numId="33">
    <w:abstractNumId w:val="15"/>
  </w:num>
  <w:num w:numId="34">
    <w:abstractNumId w:val="20"/>
  </w:num>
  <w:num w:numId="35">
    <w:abstractNumId w:val="27"/>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A8"/>
    <w:rsid w:val="000016A8"/>
    <w:rsid w:val="000175EE"/>
    <w:rsid w:val="00030BED"/>
    <w:rsid w:val="0004438E"/>
    <w:rsid w:val="00065439"/>
    <w:rsid w:val="00076599"/>
    <w:rsid w:val="00077DAF"/>
    <w:rsid w:val="000A78A4"/>
    <w:rsid w:val="000C2BF5"/>
    <w:rsid w:val="000F3925"/>
    <w:rsid w:val="000F68A4"/>
    <w:rsid w:val="001001FD"/>
    <w:rsid w:val="00122E70"/>
    <w:rsid w:val="0012474A"/>
    <w:rsid w:val="0014083E"/>
    <w:rsid w:val="00170719"/>
    <w:rsid w:val="0018301D"/>
    <w:rsid w:val="001B36BD"/>
    <w:rsid w:val="001C05CA"/>
    <w:rsid w:val="001E78F6"/>
    <w:rsid w:val="001F4A72"/>
    <w:rsid w:val="00247DEA"/>
    <w:rsid w:val="00256CDD"/>
    <w:rsid w:val="00271626"/>
    <w:rsid w:val="002A170B"/>
    <w:rsid w:val="002A2249"/>
    <w:rsid w:val="002C2CEA"/>
    <w:rsid w:val="002D5A3C"/>
    <w:rsid w:val="003156A7"/>
    <w:rsid w:val="00323A95"/>
    <w:rsid w:val="00330465"/>
    <w:rsid w:val="00347F7D"/>
    <w:rsid w:val="003579DC"/>
    <w:rsid w:val="00371EC5"/>
    <w:rsid w:val="00382F2E"/>
    <w:rsid w:val="0038553B"/>
    <w:rsid w:val="003A13EC"/>
    <w:rsid w:val="003A428C"/>
    <w:rsid w:val="003B30E2"/>
    <w:rsid w:val="003B667F"/>
    <w:rsid w:val="003C1382"/>
    <w:rsid w:val="003C1705"/>
    <w:rsid w:val="003C664A"/>
    <w:rsid w:val="003F0918"/>
    <w:rsid w:val="003F25CA"/>
    <w:rsid w:val="00410588"/>
    <w:rsid w:val="004572B8"/>
    <w:rsid w:val="004621D6"/>
    <w:rsid w:val="00490687"/>
    <w:rsid w:val="0049513B"/>
    <w:rsid w:val="004B681D"/>
    <w:rsid w:val="004B7225"/>
    <w:rsid w:val="004D5761"/>
    <w:rsid w:val="004E5F7D"/>
    <w:rsid w:val="004F5144"/>
    <w:rsid w:val="004F7619"/>
    <w:rsid w:val="00510786"/>
    <w:rsid w:val="005830C1"/>
    <w:rsid w:val="005853B4"/>
    <w:rsid w:val="00586FF6"/>
    <w:rsid w:val="00590EBA"/>
    <w:rsid w:val="005B0BD5"/>
    <w:rsid w:val="005B1A9A"/>
    <w:rsid w:val="005B71DA"/>
    <w:rsid w:val="005B77DF"/>
    <w:rsid w:val="005C5670"/>
    <w:rsid w:val="005D4F26"/>
    <w:rsid w:val="005D53A3"/>
    <w:rsid w:val="005E1D7C"/>
    <w:rsid w:val="00640DE1"/>
    <w:rsid w:val="00666EE2"/>
    <w:rsid w:val="00684004"/>
    <w:rsid w:val="006A708F"/>
    <w:rsid w:val="007309FF"/>
    <w:rsid w:val="00742A45"/>
    <w:rsid w:val="007572D7"/>
    <w:rsid w:val="00760712"/>
    <w:rsid w:val="00765C82"/>
    <w:rsid w:val="00770FA4"/>
    <w:rsid w:val="00773E0B"/>
    <w:rsid w:val="00796092"/>
    <w:rsid w:val="007B06DD"/>
    <w:rsid w:val="007D7B63"/>
    <w:rsid w:val="007E2FAE"/>
    <w:rsid w:val="00804742"/>
    <w:rsid w:val="00810118"/>
    <w:rsid w:val="0081472F"/>
    <w:rsid w:val="00816CA9"/>
    <w:rsid w:val="00873F87"/>
    <w:rsid w:val="00876D10"/>
    <w:rsid w:val="0089049F"/>
    <w:rsid w:val="008B13C1"/>
    <w:rsid w:val="008B30CD"/>
    <w:rsid w:val="008B5398"/>
    <w:rsid w:val="008C465B"/>
    <w:rsid w:val="008D1FD1"/>
    <w:rsid w:val="008F0DF4"/>
    <w:rsid w:val="00900710"/>
    <w:rsid w:val="009172DB"/>
    <w:rsid w:val="00941FA6"/>
    <w:rsid w:val="0098113E"/>
    <w:rsid w:val="009822E3"/>
    <w:rsid w:val="00990D19"/>
    <w:rsid w:val="009B7C1C"/>
    <w:rsid w:val="009C0F56"/>
    <w:rsid w:val="009C11B6"/>
    <w:rsid w:val="009E2EE2"/>
    <w:rsid w:val="009F0D0E"/>
    <w:rsid w:val="009F3B58"/>
    <w:rsid w:val="00A104DC"/>
    <w:rsid w:val="00A2458B"/>
    <w:rsid w:val="00A30664"/>
    <w:rsid w:val="00A60110"/>
    <w:rsid w:val="00AA52F0"/>
    <w:rsid w:val="00B07351"/>
    <w:rsid w:val="00B376A6"/>
    <w:rsid w:val="00B53587"/>
    <w:rsid w:val="00B73762"/>
    <w:rsid w:val="00BB7721"/>
    <w:rsid w:val="00C2533F"/>
    <w:rsid w:val="00C35955"/>
    <w:rsid w:val="00C4378C"/>
    <w:rsid w:val="00C50C14"/>
    <w:rsid w:val="00C53EF3"/>
    <w:rsid w:val="00C61AD8"/>
    <w:rsid w:val="00C86D7F"/>
    <w:rsid w:val="00C96D62"/>
    <w:rsid w:val="00CB012E"/>
    <w:rsid w:val="00CC369D"/>
    <w:rsid w:val="00CD3327"/>
    <w:rsid w:val="00CD6A31"/>
    <w:rsid w:val="00CE0C1C"/>
    <w:rsid w:val="00CE1A0C"/>
    <w:rsid w:val="00CE7E12"/>
    <w:rsid w:val="00CF368F"/>
    <w:rsid w:val="00D21600"/>
    <w:rsid w:val="00D346A7"/>
    <w:rsid w:val="00D41728"/>
    <w:rsid w:val="00D57E0B"/>
    <w:rsid w:val="00D92BFB"/>
    <w:rsid w:val="00D97F97"/>
    <w:rsid w:val="00DB3545"/>
    <w:rsid w:val="00DC51E3"/>
    <w:rsid w:val="00DD21AD"/>
    <w:rsid w:val="00DE3B1D"/>
    <w:rsid w:val="00E1751A"/>
    <w:rsid w:val="00E44D54"/>
    <w:rsid w:val="00E745FE"/>
    <w:rsid w:val="00E93877"/>
    <w:rsid w:val="00EB49AB"/>
    <w:rsid w:val="00EC4E6E"/>
    <w:rsid w:val="00F00D69"/>
    <w:rsid w:val="00F0136E"/>
    <w:rsid w:val="00F33C41"/>
    <w:rsid w:val="00F50CB9"/>
    <w:rsid w:val="00F54D16"/>
    <w:rsid w:val="00F61508"/>
    <w:rsid w:val="00F65326"/>
    <w:rsid w:val="00F859BC"/>
    <w:rsid w:val="00FA5958"/>
    <w:rsid w:val="00FB6BF4"/>
    <w:rsid w:val="00FC616A"/>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B61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B58"/>
    <w:rPr>
      <w:sz w:val="24"/>
      <w:szCs w:val="24"/>
    </w:rPr>
  </w:style>
  <w:style w:type="paragraph" w:styleId="Heading1">
    <w:name w:val="heading 1"/>
    <w:basedOn w:val="Normal"/>
    <w:next w:val="Normal"/>
    <w:qFormat/>
    <w:rsid w:val="009F3B58"/>
    <w:pPr>
      <w:keepNext/>
      <w:ind w:left="720" w:hanging="720"/>
      <w:outlineLvl w:val="0"/>
    </w:pPr>
    <w:rPr>
      <w:rFonts w:ascii="Arial" w:hAnsi="Arial" w:cs="Arial"/>
      <w:b/>
      <w:bCs/>
      <w:sz w:val="20"/>
    </w:rPr>
  </w:style>
  <w:style w:type="paragraph" w:styleId="Heading3">
    <w:name w:val="heading 3"/>
    <w:basedOn w:val="Normal"/>
    <w:next w:val="Normal"/>
    <w:qFormat/>
    <w:rsid w:val="009F3B58"/>
    <w:pPr>
      <w:keepNext/>
      <w:outlineLvl w:val="2"/>
    </w:pPr>
    <w:rPr>
      <w:rFonts w:ascii="Arial" w:hAnsi="Arial"/>
      <w:i/>
      <w:sz w:val="16"/>
      <w:szCs w:val="20"/>
    </w:rPr>
  </w:style>
  <w:style w:type="paragraph" w:styleId="Heading5">
    <w:name w:val="heading 5"/>
    <w:basedOn w:val="Normal"/>
    <w:next w:val="Normal"/>
    <w:qFormat/>
    <w:rsid w:val="009F3B58"/>
    <w:pPr>
      <w:keepNext/>
      <w:spacing w:line="240" w:lineRule="exact"/>
      <w:jc w:val="center"/>
      <w:outlineLvl w:val="4"/>
    </w:pPr>
    <w:rPr>
      <w:rFonts w:ascii="Arial" w:hAnsi="Arial"/>
      <w:b/>
      <w:sz w:val="20"/>
      <w:szCs w:val="20"/>
    </w:rPr>
  </w:style>
  <w:style w:type="paragraph" w:styleId="Heading6">
    <w:name w:val="heading 6"/>
    <w:basedOn w:val="Normal"/>
    <w:next w:val="Normal"/>
    <w:qFormat/>
    <w:rsid w:val="009F3B58"/>
    <w:pPr>
      <w:keepNext/>
      <w:spacing w:line="240" w:lineRule="exact"/>
      <w:jc w:val="center"/>
      <w:outlineLvl w:val="5"/>
    </w:pPr>
    <w:rPr>
      <w:rFonts w:ascii="Arial" w:hAnsi="Arial"/>
      <w:b/>
      <w:szCs w:val="20"/>
    </w:rPr>
  </w:style>
  <w:style w:type="paragraph" w:styleId="Heading7">
    <w:name w:val="heading 7"/>
    <w:basedOn w:val="Normal"/>
    <w:next w:val="Normal"/>
    <w:qFormat/>
    <w:rsid w:val="009F3B58"/>
    <w:pPr>
      <w:keepNext/>
      <w:tabs>
        <w:tab w:val="left" w:pos="0"/>
        <w:tab w:val="left" w:pos="360"/>
      </w:tabs>
      <w:spacing w:line="240" w:lineRule="exact"/>
      <w:outlineLvl w:val="6"/>
    </w:pPr>
    <w:rPr>
      <w:rFonts w:ascii="Arial" w:hAnsi="Arial"/>
      <w:b/>
      <w:sz w:val="20"/>
      <w:szCs w:val="20"/>
    </w:rPr>
  </w:style>
  <w:style w:type="paragraph" w:styleId="Heading8">
    <w:name w:val="heading 8"/>
    <w:basedOn w:val="Normal"/>
    <w:next w:val="Normal"/>
    <w:qFormat/>
    <w:rsid w:val="009F3B58"/>
    <w:pPr>
      <w:keepNext/>
      <w:tabs>
        <w:tab w:val="left" w:pos="360"/>
        <w:tab w:val="left" w:pos="990"/>
        <w:tab w:val="left" w:pos="9360"/>
        <w:tab w:val="left" w:pos="9990"/>
        <w:tab w:val="left" w:pos="10080"/>
      </w:tabs>
      <w:spacing w:line="240" w:lineRule="exact"/>
      <w:ind w:left="270" w:right="54" w:hanging="180"/>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3B58"/>
    <w:pPr>
      <w:tabs>
        <w:tab w:val="center" w:pos="4320"/>
        <w:tab w:val="right" w:pos="8640"/>
      </w:tabs>
    </w:pPr>
    <w:rPr>
      <w:sz w:val="20"/>
      <w:szCs w:val="20"/>
    </w:rPr>
  </w:style>
  <w:style w:type="paragraph" w:styleId="BodyTextIndent3">
    <w:name w:val="Body Text Indent 3"/>
    <w:basedOn w:val="Normal"/>
    <w:rsid w:val="009F3B58"/>
    <w:pPr>
      <w:tabs>
        <w:tab w:val="left" w:pos="360"/>
      </w:tabs>
      <w:spacing w:line="240" w:lineRule="exact"/>
      <w:ind w:left="720" w:hanging="360"/>
    </w:pPr>
    <w:rPr>
      <w:rFonts w:ascii="Arial" w:hAnsi="Arial"/>
      <w:sz w:val="18"/>
      <w:szCs w:val="20"/>
    </w:rPr>
  </w:style>
  <w:style w:type="paragraph" w:customStyle="1" w:styleId="Caption1">
    <w:name w:val="Caption1"/>
    <w:basedOn w:val="Header"/>
    <w:rsid w:val="009F3B58"/>
    <w:pPr>
      <w:tabs>
        <w:tab w:val="clear" w:pos="4320"/>
        <w:tab w:val="clear" w:pos="8640"/>
        <w:tab w:val="center" w:pos="2070"/>
      </w:tabs>
      <w:spacing w:line="240" w:lineRule="exact"/>
      <w:jc w:val="center"/>
    </w:pPr>
    <w:rPr>
      <w:rFonts w:ascii="Arial" w:hAnsi="Arial"/>
      <w:position w:val="6"/>
      <w:sz w:val="14"/>
    </w:rPr>
  </w:style>
  <w:style w:type="paragraph" w:styleId="Footer">
    <w:name w:val="footer"/>
    <w:basedOn w:val="Normal"/>
    <w:link w:val="FooterChar"/>
    <w:uiPriority w:val="99"/>
    <w:rsid w:val="009F3B58"/>
    <w:pPr>
      <w:tabs>
        <w:tab w:val="center" w:pos="4320"/>
        <w:tab w:val="right" w:pos="8640"/>
      </w:tabs>
    </w:pPr>
    <w:rPr>
      <w:sz w:val="20"/>
      <w:szCs w:val="20"/>
    </w:rPr>
  </w:style>
  <w:style w:type="paragraph" w:styleId="BlockText">
    <w:name w:val="Block Text"/>
    <w:basedOn w:val="Normal"/>
    <w:rsid w:val="009F3B58"/>
    <w:pPr>
      <w:ind w:left="720" w:right="720"/>
      <w:jc w:val="both"/>
    </w:pPr>
    <w:rPr>
      <w:rFonts w:ascii="Arial" w:hAnsi="Arial" w:cs="Arial"/>
      <w:b/>
      <w:bCs/>
      <w:sz w:val="20"/>
    </w:rPr>
  </w:style>
  <w:style w:type="paragraph" w:styleId="BalloonText">
    <w:name w:val="Balloon Text"/>
    <w:basedOn w:val="Normal"/>
    <w:semiHidden/>
    <w:rsid w:val="00CD3327"/>
    <w:rPr>
      <w:rFonts w:ascii="Tahoma" w:hAnsi="Tahoma" w:cs="Tahoma"/>
      <w:sz w:val="16"/>
      <w:szCs w:val="16"/>
    </w:rPr>
  </w:style>
  <w:style w:type="paragraph" w:styleId="FootnoteText">
    <w:name w:val="footnote text"/>
    <w:basedOn w:val="Normal"/>
    <w:link w:val="FootnoteTextChar"/>
    <w:rsid w:val="00C35955"/>
    <w:rPr>
      <w:sz w:val="20"/>
      <w:szCs w:val="20"/>
    </w:rPr>
  </w:style>
  <w:style w:type="character" w:customStyle="1" w:styleId="FootnoteTextChar">
    <w:name w:val="Footnote Text Char"/>
    <w:basedOn w:val="DefaultParagraphFont"/>
    <w:link w:val="FootnoteText"/>
    <w:rsid w:val="00C35955"/>
  </w:style>
  <w:style w:type="character" w:styleId="FootnoteReference">
    <w:name w:val="footnote reference"/>
    <w:rsid w:val="00C35955"/>
    <w:rPr>
      <w:vertAlign w:val="superscript"/>
    </w:rPr>
  </w:style>
  <w:style w:type="character" w:customStyle="1" w:styleId="FooterChar">
    <w:name w:val="Footer Char"/>
    <w:basedOn w:val="DefaultParagraphFont"/>
    <w:link w:val="Footer"/>
    <w:uiPriority w:val="99"/>
    <w:rsid w:val="00C3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2021-05-27T02:39:00Z</dcterms:created>
  <dcterms:modified xsi:type="dcterms:W3CDTF">2021-11-18T04:18:00Z</dcterms:modified>
</cp:coreProperties>
</file>